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D046C" w14:textId="13C14B74" w:rsidR="001D4535" w:rsidRPr="00F823CF" w:rsidRDefault="0005318A" w:rsidP="00243A0B">
      <w:pPr>
        <w:pStyle w:val="Title"/>
        <w:jc w:val="left"/>
        <w:rPr>
          <w:lang w:val="en-US"/>
        </w:rPr>
      </w:pPr>
      <w:r w:rsidRPr="009D6C28">
        <w:rPr>
          <w:lang w:val="en-US"/>
        </w:rPr>
        <w:t xml:space="preserve">Increasing Inequality in </w:t>
      </w:r>
      <w:r w:rsidR="00B932AE" w:rsidRPr="009D6C28">
        <w:rPr>
          <w:lang w:val="en-US"/>
        </w:rPr>
        <w:t>Joint Income and Wealth Distributions</w:t>
      </w:r>
      <w:r w:rsidRPr="009D6C28">
        <w:rPr>
          <w:lang w:val="en-US"/>
        </w:rPr>
        <w:t xml:space="preserve"> in the </w:t>
      </w:r>
      <w:r w:rsidR="00B932AE" w:rsidRPr="009D6C28">
        <w:rPr>
          <w:lang w:val="en-US"/>
        </w:rPr>
        <w:t>United States, 199</w:t>
      </w:r>
      <w:r w:rsidR="008F4FCB" w:rsidRPr="009D6C28">
        <w:rPr>
          <w:lang w:val="en-US"/>
        </w:rPr>
        <w:t>5</w:t>
      </w:r>
      <w:r w:rsidR="00B932AE" w:rsidRPr="009D6C28">
        <w:rPr>
          <w:lang w:val="en-US"/>
        </w:rPr>
        <w:t xml:space="preserve"> to 2013</w:t>
      </w:r>
      <w:r w:rsidR="00346CF8" w:rsidRPr="009D6C28">
        <w:rPr>
          <w:rStyle w:val="FootnoteReference"/>
          <w:sz w:val="36"/>
          <w:lang w:val="en-US"/>
        </w:rPr>
        <w:footnoteReference w:id="2"/>
      </w:r>
    </w:p>
    <w:p w14:paraId="153F6639" w14:textId="77777777" w:rsidR="000B2A48" w:rsidRDefault="000B2A48" w:rsidP="00A97A06">
      <w:pPr>
        <w:spacing w:after="120" w:line="480" w:lineRule="auto"/>
        <w:rPr>
          <w:sz w:val="24"/>
          <w:szCs w:val="28"/>
          <w:lang w:val="en-US"/>
        </w:rPr>
      </w:pPr>
    </w:p>
    <w:p w14:paraId="3C415B05" w14:textId="77777777" w:rsidR="002E46F9" w:rsidRDefault="00B932AE" w:rsidP="005B59D0">
      <w:pPr>
        <w:spacing w:after="120" w:line="480" w:lineRule="auto"/>
        <w:outlineLvl w:val="0"/>
        <w:rPr>
          <w:sz w:val="24"/>
          <w:szCs w:val="28"/>
          <w:lang w:val="en-US"/>
        </w:rPr>
      </w:pPr>
      <w:r w:rsidRPr="00B932AE">
        <w:rPr>
          <w:sz w:val="24"/>
          <w:szCs w:val="28"/>
          <w:lang w:val="en-US"/>
        </w:rPr>
        <w:t>Louis Chauvel, University of Luxembourg, IRSEI</w:t>
      </w:r>
    </w:p>
    <w:p w14:paraId="324D9F24" w14:textId="77777777" w:rsidR="008C78BB" w:rsidRDefault="00B932AE" w:rsidP="00A97A06">
      <w:pPr>
        <w:spacing w:after="120" w:line="480" w:lineRule="auto"/>
        <w:rPr>
          <w:sz w:val="24"/>
          <w:szCs w:val="28"/>
          <w:lang w:val="en-US"/>
        </w:rPr>
      </w:pPr>
      <w:r w:rsidRPr="00B932AE">
        <w:rPr>
          <w:sz w:val="24"/>
          <w:szCs w:val="28"/>
          <w:lang w:val="en-US"/>
        </w:rPr>
        <w:t>Eyal Bar</w:t>
      </w:r>
      <w:r>
        <w:rPr>
          <w:sz w:val="24"/>
          <w:szCs w:val="28"/>
          <w:lang w:val="en-US"/>
        </w:rPr>
        <w:t>-</w:t>
      </w:r>
      <w:r w:rsidRPr="00B932AE">
        <w:rPr>
          <w:sz w:val="24"/>
          <w:szCs w:val="28"/>
          <w:lang w:val="en-US"/>
        </w:rPr>
        <w:t>Haim</w:t>
      </w:r>
      <w:r w:rsidR="008C78BB" w:rsidRPr="00B932AE">
        <w:rPr>
          <w:sz w:val="24"/>
          <w:szCs w:val="28"/>
          <w:lang w:val="en-US"/>
        </w:rPr>
        <w:t xml:space="preserve">, </w:t>
      </w:r>
      <w:r w:rsidR="008F5B37" w:rsidRPr="00B932AE">
        <w:rPr>
          <w:sz w:val="24"/>
          <w:szCs w:val="28"/>
          <w:lang w:val="en-US"/>
        </w:rPr>
        <w:t>University</w:t>
      </w:r>
      <w:r w:rsidR="008C78BB" w:rsidRPr="00B932AE">
        <w:rPr>
          <w:sz w:val="24"/>
          <w:szCs w:val="28"/>
          <w:lang w:val="en-US"/>
        </w:rPr>
        <w:t xml:space="preserve"> of Luxembourg, IRSEI</w:t>
      </w:r>
    </w:p>
    <w:p w14:paraId="66DEF720" w14:textId="77777777" w:rsidR="002E46F9" w:rsidRDefault="002E46F9" w:rsidP="00A97A06">
      <w:pPr>
        <w:spacing w:after="120" w:line="480" w:lineRule="auto"/>
        <w:rPr>
          <w:sz w:val="24"/>
          <w:szCs w:val="28"/>
          <w:lang w:val="en-US"/>
        </w:rPr>
      </w:pPr>
      <w:r>
        <w:rPr>
          <w:sz w:val="24"/>
          <w:szCs w:val="28"/>
          <w:lang w:val="en-US"/>
        </w:rPr>
        <w:t>Anne Hartung</w:t>
      </w:r>
      <w:r w:rsidRPr="00B932AE">
        <w:rPr>
          <w:sz w:val="24"/>
          <w:szCs w:val="28"/>
          <w:lang w:val="en-US"/>
        </w:rPr>
        <w:t>, University of Luxembourg, IRSEI</w:t>
      </w:r>
    </w:p>
    <w:p w14:paraId="1FD1AD8D" w14:textId="3EC6AA69" w:rsidR="00FA20D2" w:rsidRDefault="00FA20D2" w:rsidP="00FA20D2">
      <w:pPr>
        <w:spacing w:after="120" w:line="480" w:lineRule="auto"/>
        <w:rPr>
          <w:sz w:val="24"/>
          <w:szCs w:val="28"/>
          <w:lang w:val="en-US"/>
        </w:rPr>
      </w:pPr>
      <w:r w:rsidRPr="00FA20D2">
        <w:rPr>
          <w:sz w:val="24"/>
          <w:szCs w:val="28"/>
          <w:lang w:val="en-US"/>
        </w:rPr>
        <w:t>Philippe Van Kerm</w:t>
      </w:r>
      <w:r w:rsidRPr="00B932AE">
        <w:rPr>
          <w:sz w:val="24"/>
          <w:szCs w:val="28"/>
          <w:lang w:val="en-US"/>
        </w:rPr>
        <w:t>, University of Luxembourg, IRSEI</w:t>
      </w:r>
      <w:r>
        <w:rPr>
          <w:sz w:val="24"/>
          <w:szCs w:val="28"/>
          <w:lang w:val="en-US"/>
        </w:rPr>
        <w:t xml:space="preserve"> and LISER</w:t>
      </w:r>
    </w:p>
    <w:p w14:paraId="0805C5DC" w14:textId="59042F92" w:rsidR="00FA20D2" w:rsidRDefault="00FA20D2" w:rsidP="00A97A06">
      <w:pPr>
        <w:spacing w:after="120" w:line="480" w:lineRule="auto"/>
        <w:rPr>
          <w:sz w:val="24"/>
          <w:szCs w:val="28"/>
          <w:lang w:val="en-US"/>
        </w:rPr>
      </w:pPr>
    </w:p>
    <w:p w14:paraId="10A1DE4A" w14:textId="0BB750C5" w:rsidR="00035ACE" w:rsidRDefault="00035ACE" w:rsidP="00A97A06">
      <w:pPr>
        <w:spacing w:after="120" w:line="480" w:lineRule="auto"/>
        <w:rPr>
          <w:sz w:val="24"/>
          <w:szCs w:val="28"/>
          <w:lang w:val="en-US"/>
        </w:rPr>
      </w:pPr>
      <w:r>
        <w:rPr>
          <w:sz w:val="24"/>
          <w:szCs w:val="28"/>
          <w:lang w:val="en-US"/>
        </w:rPr>
        <w:t>Version: April</w:t>
      </w:r>
      <w:bookmarkStart w:id="0" w:name="_GoBack"/>
      <w:bookmarkEnd w:id="0"/>
      <w:r w:rsidR="006045A9">
        <w:rPr>
          <w:sz w:val="24"/>
          <w:szCs w:val="28"/>
          <w:lang w:val="en-US"/>
        </w:rPr>
        <w:t xml:space="preserve"> 26</w:t>
      </w:r>
      <w:r>
        <w:rPr>
          <w:sz w:val="24"/>
          <w:szCs w:val="28"/>
          <w:lang w:val="en-US"/>
        </w:rPr>
        <w:t>, 2018</w:t>
      </w:r>
    </w:p>
    <w:p w14:paraId="2FF9E597" w14:textId="77777777" w:rsidR="00035ACE" w:rsidRPr="00B932AE" w:rsidRDefault="00035ACE" w:rsidP="00A97A06">
      <w:pPr>
        <w:spacing w:after="120" w:line="480" w:lineRule="auto"/>
        <w:rPr>
          <w:sz w:val="24"/>
          <w:szCs w:val="28"/>
          <w:lang w:val="en-US"/>
        </w:rPr>
      </w:pPr>
    </w:p>
    <w:p w14:paraId="3D10FD21" w14:textId="77777777" w:rsidR="00A97A06" w:rsidRPr="00B932AE" w:rsidRDefault="00A97A06" w:rsidP="005B59D0">
      <w:pPr>
        <w:spacing w:after="120" w:line="480" w:lineRule="auto"/>
        <w:outlineLvl w:val="0"/>
        <w:rPr>
          <w:b/>
          <w:bCs/>
          <w:sz w:val="24"/>
          <w:szCs w:val="28"/>
          <w:lang w:val="en-US"/>
        </w:rPr>
      </w:pPr>
      <w:r w:rsidRPr="00B932AE">
        <w:rPr>
          <w:b/>
          <w:bCs/>
          <w:sz w:val="24"/>
          <w:szCs w:val="28"/>
          <w:lang w:val="en-US"/>
        </w:rPr>
        <w:t xml:space="preserve">Abstract </w:t>
      </w:r>
    </w:p>
    <w:p w14:paraId="4FCBBFFE" w14:textId="2FC7631C" w:rsidR="00B932AE" w:rsidRPr="00375652" w:rsidRDefault="005148D9" w:rsidP="00AC56B9">
      <w:pPr>
        <w:spacing w:after="120"/>
        <w:jc w:val="both"/>
        <w:rPr>
          <w:sz w:val="24"/>
          <w:szCs w:val="28"/>
          <w:lang w:val="en-US"/>
        </w:rPr>
      </w:pPr>
      <w:r>
        <w:rPr>
          <w:sz w:val="24"/>
          <w:szCs w:val="28"/>
          <w:lang w:val="en-US"/>
        </w:rPr>
        <w:t xml:space="preserve">The study of </w:t>
      </w:r>
      <w:r w:rsidR="00AC33A5">
        <w:rPr>
          <w:sz w:val="24"/>
          <w:szCs w:val="28"/>
          <w:lang w:val="en-US"/>
        </w:rPr>
        <w:t xml:space="preserve">joint </w:t>
      </w:r>
      <w:r>
        <w:rPr>
          <w:sz w:val="24"/>
          <w:szCs w:val="28"/>
          <w:lang w:val="en-US"/>
        </w:rPr>
        <w:t>income and wealth distribution</w:t>
      </w:r>
      <w:r w:rsidR="000B32D3">
        <w:rPr>
          <w:sz w:val="24"/>
          <w:szCs w:val="28"/>
          <w:lang w:val="en-US"/>
        </w:rPr>
        <w:t>s</w:t>
      </w:r>
      <w:r>
        <w:rPr>
          <w:sz w:val="24"/>
          <w:szCs w:val="28"/>
          <w:lang w:val="en-US"/>
        </w:rPr>
        <w:t xml:space="preserve"> is important to the understanding of economic inequality. However, these are e</w:t>
      </w:r>
      <w:r w:rsidR="00B932AE">
        <w:rPr>
          <w:sz w:val="24"/>
          <w:szCs w:val="28"/>
          <w:lang w:val="en-US"/>
        </w:rPr>
        <w:t xml:space="preserve">xtremely skewed </w:t>
      </w:r>
      <w:r w:rsidR="00634B95">
        <w:rPr>
          <w:sz w:val="24"/>
          <w:szCs w:val="28"/>
          <w:lang w:val="en-US"/>
        </w:rPr>
        <w:t>variables that</w:t>
      </w:r>
      <w:r>
        <w:rPr>
          <w:sz w:val="24"/>
          <w:szCs w:val="28"/>
          <w:lang w:val="en-US"/>
        </w:rPr>
        <w:t xml:space="preserve"> </w:t>
      </w:r>
      <w:r w:rsidR="009F702E">
        <w:rPr>
          <w:sz w:val="24"/>
          <w:szCs w:val="28"/>
          <w:lang w:val="en-US"/>
        </w:rPr>
        <w:t xml:space="preserve">present </w:t>
      </w:r>
      <w:r w:rsidR="00B932AE">
        <w:rPr>
          <w:sz w:val="24"/>
          <w:szCs w:val="28"/>
          <w:lang w:val="en-US"/>
        </w:rPr>
        <w:t>tails</w:t>
      </w:r>
      <w:r w:rsidR="00BF023A">
        <w:rPr>
          <w:sz w:val="24"/>
          <w:szCs w:val="28"/>
          <w:lang w:val="en-US"/>
        </w:rPr>
        <w:t xml:space="preserve"> contain</w:t>
      </w:r>
      <w:r w:rsidR="009F702E">
        <w:rPr>
          <w:sz w:val="24"/>
          <w:szCs w:val="28"/>
          <w:lang w:val="en-US"/>
        </w:rPr>
        <w:t>ing</w:t>
      </w:r>
      <w:r w:rsidR="00BF023A">
        <w:rPr>
          <w:sz w:val="24"/>
          <w:szCs w:val="28"/>
          <w:lang w:val="en-US"/>
        </w:rPr>
        <w:t xml:space="preserve"> strategic information that usual methods – such as percentile grouping – </w:t>
      </w:r>
      <w:r w:rsidR="00D025E2">
        <w:rPr>
          <w:sz w:val="24"/>
          <w:szCs w:val="28"/>
          <w:lang w:val="en-US"/>
        </w:rPr>
        <w:t xml:space="preserve">cannot easily </w:t>
      </w:r>
      <w:r w:rsidR="00CB70C9">
        <w:rPr>
          <w:sz w:val="24"/>
          <w:szCs w:val="28"/>
          <w:lang w:val="en-US"/>
        </w:rPr>
        <w:t>underline</w:t>
      </w:r>
      <w:r w:rsidR="00BF023A">
        <w:rPr>
          <w:sz w:val="24"/>
          <w:szCs w:val="28"/>
          <w:lang w:val="en-US"/>
        </w:rPr>
        <w:t xml:space="preserve">. </w:t>
      </w:r>
      <w:r w:rsidR="001C35FA">
        <w:rPr>
          <w:sz w:val="24"/>
          <w:szCs w:val="28"/>
          <w:lang w:val="en-US"/>
        </w:rPr>
        <w:t>In this paper</w:t>
      </w:r>
      <w:r w:rsidR="00FE3B48">
        <w:rPr>
          <w:sz w:val="24"/>
          <w:szCs w:val="28"/>
          <w:lang w:val="en-US"/>
        </w:rPr>
        <w:t xml:space="preserve">, we propose a </w:t>
      </w:r>
      <w:r w:rsidR="00584767">
        <w:rPr>
          <w:sz w:val="24"/>
          <w:szCs w:val="28"/>
          <w:lang w:val="en-US"/>
        </w:rPr>
        <w:t xml:space="preserve">new </w:t>
      </w:r>
      <w:r w:rsidR="00FE3B48">
        <w:rPr>
          <w:sz w:val="24"/>
          <w:szCs w:val="28"/>
          <w:lang w:val="en-US"/>
        </w:rPr>
        <w:t>method that</w:t>
      </w:r>
      <w:r w:rsidR="00BF023A">
        <w:rPr>
          <w:sz w:val="24"/>
          <w:szCs w:val="28"/>
          <w:lang w:val="en-US"/>
        </w:rPr>
        <w:t xml:space="preserve"> </w:t>
      </w:r>
      <w:r w:rsidR="00584767">
        <w:rPr>
          <w:sz w:val="24"/>
          <w:szCs w:val="28"/>
          <w:lang w:val="en-US"/>
        </w:rPr>
        <w:t xml:space="preserve">is able to </w:t>
      </w:r>
      <w:r w:rsidR="00BF023A">
        <w:rPr>
          <w:sz w:val="24"/>
          <w:szCs w:val="28"/>
          <w:lang w:val="en-US"/>
        </w:rPr>
        <w:t>provid</w:t>
      </w:r>
      <w:r w:rsidR="00584767">
        <w:rPr>
          <w:sz w:val="24"/>
          <w:szCs w:val="28"/>
          <w:lang w:val="en-US"/>
        </w:rPr>
        <w:t>e</w:t>
      </w:r>
      <w:r w:rsidR="00BF023A">
        <w:rPr>
          <w:sz w:val="24"/>
          <w:szCs w:val="28"/>
          <w:lang w:val="en-US"/>
        </w:rPr>
        <w:t xml:space="preserve"> a </w:t>
      </w:r>
      <w:r w:rsidR="00584767">
        <w:rPr>
          <w:sz w:val="24"/>
          <w:szCs w:val="28"/>
          <w:lang w:val="en-US"/>
        </w:rPr>
        <w:t xml:space="preserve">thorough </w:t>
      </w:r>
      <w:r w:rsidR="009F702E">
        <w:rPr>
          <w:sz w:val="24"/>
          <w:szCs w:val="28"/>
          <w:lang w:val="en-US"/>
        </w:rPr>
        <w:t xml:space="preserve">examination </w:t>
      </w:r>
      <w:r w:rsidR="00BF023A">
        <w:rPr>
          <w:sz w:val="24"/>
          <w:szCs w:val="28"/>
          <w:lang w:val="en-US"/>
        </w:rPr>
        <w:t>of tails</w:t>
      </w:r>
      <w:r w:rsidR="002B5646">
        <w:rPr>
          <w:sz w:val="24"/>
          <w:szCs w:val="28"/>
          <w:lang w:val="en-US"/>
        </w:rPr>
        <w:t>: the isograph and the logitrank</w:t>
      </w:r>
      <w:r w:rsidR="00BF023A">
        <w:rPr>
          <w:sz w:val="24"/>
          <w:szCs w:val="28"/>
          <w:lang w:val="en-US"/>
        </w:rPr>
        <w:t xml:space="preserve">. </w:t>
      </w:r>
      <w:r w:rsidR="00B37C34">
        <w:rPr>
          <w:sz w:val="24"/>
          <w:szCs w:val="28"/>
          <w:lang w:val="en-US"/>
        </w:rPr>
        <w:t xml:space="preserve">These tools </w:t>
      </w:r>
      <w:r w:rsidR="00584767">
        <w:rPr>
          <w:sz w:val="24"/>
          <w:szCs w:val="28"/>
          <w:lang w:val="en-US"/>
        </w:rPr>
        <w:t xml:space="preserve">entail </w:t>
      </w:r>
      <w:r w:rsidR="00B37C34">
        <w:rPr>
          <w:sz w:val="24"/>
          <w:szCs w:val="28"/>
          <w:lang w:val="en-US"/>
        </w:rPr>
        <w:t xml:space="preserve">a more </w:t>
      </w:r>
      <w:r w:rsidR="00584767">
        <w:rPr>
          <w:sz w:val="24"/>
          <w:szCs w:val="28"/>
          <w:lang w:val="en-US"/>
        </w:rPr>
        <w:t xml:space="preserve">detailed </w:t>
      </w:r>
      <w:r w:rsidR="00B37C34">
        <w:rPr>
          <w:sz w:val="24"/>
          <w:szCs w:val="28"/>
          <w:lang w:val="en-US"/>
        </w:rPr>
        <w:t>conception of inequality</w:t>
      </w:r>
      <w:r w:rsidR="00584767" w:rsidRPr="00584767">
        <w:rPr>
          <w:sz w:val="24"/>
          <w:szCs w:val="28"/>
          <w:lang w:val="en-US"/>
        </w:rPr>
        <w:t xml:space="preserve"> </w:t>
      </w:r>
      <w:r w:rsidR="00584767">
        <w:rPr>
          <w:sz w:val="24"/>
          <w:szCs w:val="28"/>
          <w:lang w:val="en-US"/>
        </w:rPr>
        <w:t>by describing inequality at different points of the distribution</w:t>
      </w:r>
      <w:r w:rsidR="00B37C34">
        <w:rPr>
          <w:sz w:val="24"/>
          <w:szCs w:val="28"/>
          <w:lang w:val="en-US"/>
        </w:rPr>
        <w:t xml:space="preserve">. </w:t>
      </w:r>
      <w:r w:rsidR="004D19EE">
        <w:rPr>
          <w:sz w:val="24"/>
          <w:szCs w:val="28"/>
          <w:lang w:val="en-US"/>
        </w:rPr>
        <w:t>Using</w:t>
      </w:r>
      <w:r w:rsidR="00B37C34">
        <w:rPr>
          <w:sz w:val="24"/>
          <w:szCs w:val="28"/>
          <w:lang w:val="en-US"/>
        </w:rPr>
        <w:t xml:space="preserve"> </w:t>
      </w:r>
      <w:r w:rsidR="009B25C0">
        <w:rPr>
          <w:sz w:val="24"/>
          <w:szCs w:val="28"/>
          <w:lang w:val="en-US"/>
        </w:rPr>
        <w:t xml:space="preserve">US data 1995-2013 from </w:t>
      </w:r>
      <w:r w:rsidR="00B37C34">
        <w:rPr>
          <w:sz w:val="24"/>
          <w:szCs w:val="28"/>
          <w:lang w:val="en-US"/>
        </w:rPr>
        <w:t>the</w:t>
      </w:r>
      <w:r w:rsidR="004D19EE">
        <w:rPr>
          <w:sz w:val="24"/>
          <w:szCs w:val="28"/>
          <w:lang w:val="en-US"/>
        </w:rPr>
        <w:t xml:space="preserve"> Luxembourg Wealth Study (LWS)</w:t>
      </w:r>
      <w:r w:rsidR="00B37C34">
        <w:rPr>
          <w:sz w:val="24"/>
          <w:szCs w:val="28"/>
          <w:lang w:val="en-US"/>
        </w:rPr>
        <w:t xml:space="preserve">, </w:t>
      </w:r>
      <w:r w:rsidR="004D19EE">
        <w:rPr>
          <w:sz w:val="24"/>
          <w:szCs w:val="28"/>
          <w:lang w:val="en-US"/>
        </w:rPr>
        <w:t>we find first that</w:t>
      </w:r>
      <w:r w:rsidR="00B37C34">
        <w:rPr>
          <w:sz w:val="24"/>
          <w:szCs w:val="28"/>
          <w:lang w:val="en-US"/>
        </w:rPr>
        <w:t xml:space="preserve"> income inequality increased significantly, in particular in the upper middle classes</w:t>
      </w:r>
      <w:r w:rsidR="004D19EE">
        <w:rPr>
          <w:sz w:val="24"/>
          <w:szCs w:val="28"/>
          <w:lang w:val="en-US"/>
        </w:rPr>
        <w:t>. Second,</w:t>
      </w:r>
      <w:r w:rsidR="00B37C34">
        <w:rPr>
          <w:sz w:val="24"/>
          <w:szCs w:val="28"/>
          <w:lang w:val="en-US"/>
        </w:rPr>
        <w:t xml:space="preserve"> the </w:t>
      </w:r>
      <w:r w:rsidR="004D19EE">
        <w:rPr>
          <w:sz w:val="24"/>
          <w:szCs w:val="28"/>
          <w:lang w:val="en-US"/>
        </w:rPr>
        <w:t>wealth-to-income</w:t>
      </w:r>
      <w:r w:rsidR="00B37C34">
        <w:rPr>
          <w:sz w:val="24"/>
          <w:szCs w:val="28"/>
          <w:lang w:val="en-US"/>
        </w:rPr>
        <w:t xml:space="preserve"> ratio measur</w:t>
      </w:r>
      <w:r w:rsidR="004D19EE">
        <w:rPr>
          <w:sz w:val="24"/>
          <w:szCs w:val="28"/>
          <w:lang w:val="en-US"/>
        </w:rPr>
        <w:t>ing</w:t>
      </w:r>
      <w:r w:rsidR="00B37C34">
        <w:rPr>
          <w:sz w:val="24"/>
          <w:szCs w:val="28"/>
          <w:lang w:val="en-US"/>
        </w:rPr>
        <w:t xml:space="preserve"> the importance of wealth </w:t>
      </w:r>
      <w:r w:rsidR="004D19EE">
        <w:rPr>
          <w:sz w:val="24"/>
          <w:szCs w:val="28"/>
          <w:lang w:val="en-US"/>
        </w:rPr>
        <w:t xml:space="preserve">relative to </w:t>
      </w:r>
      <w:r w:rsidR="00B37C34">
        <w:rPr>
          <w:sz w:val="24"/>
          <w:szCs w:val="28"/>
          <w:lang w:val="en-US"/>
        </w:rPr>
        <w:t>income, increased significantly</w:t>
      </w:r>
      <w:r w:rsidR="004D19EE">
        <w:rPr>
          <w:sz w:val="24"/>
          <w:szCs w:val="28"/>
          <w:lang w:val="en-US"/>
        </w:rPr>
        <w:t>.</w:t>
      </w:r>
      <w:r w:rsidR="00B37C34">
        <w:rPr>
          <w:sz w:val="24"/>
          <w:szCs w:val="28"/>
          <w:lang w:val="en-US"/>
        </w:rPr>
        <w:t xml:space="preserve"> </w:t>
      </w:r>
      <w:r w:rsidR="004D19EE">
        <w:rPr>
          <w:sz w:val="24"/>
          <w:szCs w:val="28"/>
          <w:lang w:val="en-US"/>
        </w:rPr>
        <w:t>T</w:t>
      </w:r>
      <w:r w:rsidR="00B37C34">
        <w:rPr>
          <w:sz w:val="24"/>
          <w:szCs w:val="28"/>
          <w:lang w:val="en-US"/>
        </w:rPr>
        <w:t>he association between high wealth and high incomes</w:t>
      </w:r>
      <w:r w:rsidR="004D19EE">
        <w:rPr>
          <w:sz w:val="24"/>
          <w:szCs w:val="28"/>
          <w:lang w:val="en-US"/>
        </w:rPr>
        <w:t>, fourth,</w:t>
      </w:r>
      <w:r w:rsidR="00B37C34">
        <w:rPr>
          <w:sz w:val="24"/>
          <w:szCs w:val="28"/>
          <w:lang w:val="en-US"/>
        </w:rPr>
        <w:t xml:space="preserve"> increased </w:t>
      </w:r>
      <w:r w:rsidR="004D19EE">
        <w:rPr>
          <w:sz w:val="24"/>
          <w:szCs w:val="28"/>
          <w:lang w:val="en-US"/>
        </w:rPr>
        <w:t>as well</w:t>
      </w:r>
      <w:r w:rsidR="00B37C34">
        <w:rPr>
          <w:sz w:val="24"/>
          <w:szCs w:val="28"/>
          <w:lang w:val="en-US"/>
        </w:rPr>
        <w:t xml:space="preserve">. </w:t>
      </w:r>
      <w:r w:rsidR="004D19EE">
        <w:rPr>
          <w:sz w:val="24"/>
          <w:szCs w:val="28"/>
          <w:lang w:val="en-US"/>
        </w:rPr>
        <w:t>Based on our analysis, w</w:t>
      </w:r>
      <w:r w:rsidR="00B37C34">
        <w:rPr>
          <w:sz w:val="24"/>
          <w:szCs w:val="28"/>
          <w:lang w:val="en-US"/>
        </w:rPr>
        <w:t xml:space="preserve">e </w:t>
      </w:r>
      <w:r w:rsidR="004D19EE">
        <w:rPr>
          <w:sz w:val="24"/>
          <w:szCs w:val="28"/>
          <w:lang w:val="en-US"/>
        </w:rPr>
        <w:t xml:space="preserve">can </w:t>
      </w:r>
      <w:r w:rsidR="00B37C34">
        <w:rPr>
          <w:sz w:val="24"/>
          <w:szCs w:val="28"/>
          <w:lang w:val="en-US"/>
        </w:rPr>
        <w:t>c</w:t>
      </w:r>
      <w:r w:rsidR="004D19EE">
        <w:rPr>
          <w:sz w:val="24"/>
          <w:szCs w:val="28"/>
          <w:lang w:val="en-US"/>
        </w:rPr>
        <w:t>onclude</w:t>
      </w:r>
      <w:r w:rsidR="00B37C34">
        <w:rPr>
          <w:sz w:val="24"/>
          <w:szCs w:val="28"/>
          <w:lang w:val="en-US"/>
        </w:rPr>
        <w:t xml:space="preserve"> </w:t>
      </w:r>
      <w:r w:rsidR="009F702E">
        <w:rPr>
          <w:sz w:val="24"/>
          <w:szCs w:val="28"/>
          <w:lang w:val="en-US"/>
        </w:rPr>
        <w:t xml:space="preserve">that </w:t>
      </w:r>
      <w:r w:rsidR="00B37C34">
        <w:rPr>
          <w:sz w:val="24"/>
          <w:szCs w:val="28"/>
          <w:lang w:val="en-US"/>
        </w:rPr>
        <w:t>this increase in the association</w:t>
      </w:r>
      <w:r w:rsidR="004D19EE">
        <w:rPr>
          <w:sz w:val="24"/>
          <w:szCs w:val="28"/>
          <w:lang w:val="en-US"/>
        </w:rPr>
        <w:t xml:space="preserve"> between wealth and income</w:t>
      </w:r>
      <w:r w:rsidR="00B37C34">
        <w:rPr>
          <w:sz w:val="24"/>
          <w:szCs w:val="28"/>
          <w:lang w:val="en-US"/>
        </w:rPr>
        <w:t xml:space="preserve"> is not a trivial </w:t>
      </w:r>
      <w:r w:rsidR="00FD75A4">
        <w:rPr>
          <w:sz w:val="24"/>
          <w:szCs w:val="28"/>
          <w:lang w:val="en-US"/>
        </w:rPr>
        <w:t xml:space="preserve">consequence </w:t>
      </w:r>
      <w:r w:rsidR="00B37C34">
        <w:rPr>
          <w:sz w:val="24"/>
          <w:szCs w:val="28"/>
          <w:lang w:val="en-US"/>
        </w:rPr>
        <w:t xml:space="preserve">of </w:t>
      </w:r>
      <w:r w:rsidR="004D19EE">
        <w:rPr>
          <w:sz w:val="24"/>
          <w:szCs w:val="28"/>
          <w:lang w:val="en-US"/>
        </w:rPr>
        <w:t>increasing inequality</w:t>
      </w:r>
      <w:r w:rsidR="00B37C34">
        <w:rPr>
          <w:sz w:val="24"/>
          <w:szCs w:val="28"/>
          <w:lang w:val="en-US"/>
        </w:rPr>
        <w:t xml:space="preserve">, </w:t>
      </w:r>
      <w:r w:rsidR="00FD75A4">
        <w:rPr>
          <w:sz w:val="24"/>
          <w:szCs w:val="28"/>
          <w:lang w:val="en-US"/>
        </w:rPr>
        <w:t xml:space="preserve">but a stronger coherence of the diagonal at the top of </w:t>
      </w:r>
      <w:r w:rsidR="004D19EE">
        <w:rPr>
          <w:sz w:val="24"/>
          <w:szCs w:val="28"/>
          <w:lang w:val="en-US"/>
        </w:rPr>
        <w:t xml:space="preserve">the </w:t>
      </w:r>
      <w:r w:rsidR="00FD75A4">
        <w:rPr>
          <w:sz w:val="24"/>
          <w:szCs w:val="28"/>
          <w:lang w:val="en-US"/>
        </w:rPr>
        <w:t>income and wealth</w:t>
      </w:r>
      <w:r w:rsidR="004D19EE">
        <w:rPr>
          <w:sz w:val="24"/>
          <w:szCs w:val="28"/>
          <w:lang w:val="en-US"/>
        </w:rPr>
        <w:t xml:space="preserve"> distributions</w:t>
      </w:r>
      <w:r w:rsidR="00FD75A4">
        <w:rPr>
          <w:sz w:val="24"/>
          <w:szCs w:val="28"/>
          <w:lang w:val="en-US"/>
        </w:rPr>
        <w:t xml:space="preserve">. </w:t>
      </w:r>
      <w:r w:rsidR="00B37C34">
        <w:rPr>
          <w:sz w:val="24"/>
          <w:szCs w:val="28"/>
          <w:lang w:val="en-US"/>
        </w:rPr>
        <w:t xml:space="preserve">  </w:t>
      </w:r>
    </w:p>
    <w:p w14:paraId="5691476B" w14:textId="77777777" w:rsidR="00647747" w:rsidRDefault="00647747" w:rsidP="00AF0CE3">
      <w:pPr>
        <w:spacing w:after="120" w:line="480" w:lineRule="auto"/>
        <w:jc w:val="both"/>
        <w:rPr>
          <w:sz w:val="24"/>
          <w:szCs w:val="28"/>
          <w:lang w:val="en-US"/>
        </w:rPr>
      </w:pPr>
    </w:p>
    <w:p w14:paraId="1E6DAD0A" w14:textId="77777777" w:rsidR="00647747" w:rsidRPr="00742534" w:rsidRDefault="00647747" w:rsidP="00634B95">
      <w:pPr>
        <w:spacing w:after="120" w:line="480" w:lineRule="auto"/>
        <w:rPr>
          <w:sz w:val="24"/>
          <w:szCs w:val="28"/>
          <w:lang w:val="en-US"/>
        </w:rPr>
      </w:pPr>
      <w:r w:rsidRPr="00DD0D8A">
        <w:rPr>
          <w:b/>
          <w:sz w:val="24"/>
          <w:szCs w:val="28"/>
        </w:rPr>
        <w:t xml:space="preserve">JEL </w:t>
      </w:r>
      <w:r w:rsidR="002114F0" w:rsidRPr="00DD0D8A">
        <w:rPr>
          <w:b/>
          <w:sz w:val="24"/>
          <w:szCs w:val="28"/>
        </w:rPr>
        <w:t xml:space="preserve">codes: </w:t>
      </w:r>
      <w:r w:rsidRPr="007A08A7">
        <w:rPr>
          <w:sz w:val="24"/>
          <w:szCs w:val="28"/>
        </w:rPr>
        <w:t>D31, C16, C46</w:t>
      </w:r>
      <w:r w:rsidR="002114F0" w:rsidRPr="007A08A7">
        <w:rPr>
          <w:sz w:val="24"/>
          <w:szCs w:val="28"/>
        </w:rPr>
        <w:t>.</w:t>
      </w:r>
      <w:r w:rsidRPr="007A08A7">
        <w:rPr>
          <w:sz w:val="24"/>
          <w:szCs w:val="28"/>
        </w:rPr>
        <w:t xml:space="preserve"> </w:t>
      </w:r>
      <w:r w:rsidRPr="007A08A7">
        <w:rPr>
          <w:sz w:val="24"/>
          <w:szCs w:val="28"/>
        </w:rPr>
        <w:br/>
      </w:r>
      <w:r w:rsidR="002114F0" w:rsidRPr="00DD0D8A">
        <w:rPr>
          <w:b/>
          <w:sz w:val="24"/>
          <w:szCs w:val="28"/>
          <w:lang w:val="en-US"/>
        </w:rPr>
        <w:t>K</w:t>
      </w:r>
      <w:r w:rsidRPr="00DD0D8A">
        <w:rPr>
          <w:b/>
          <w:sz w:val="24"/>
          <w:szCs w:val="28"/>
          <w:lang w:val="en-US"/>
        </w:rPr>
        <w:t>eywords:</w:t>
      </w:r>
      <w:r>
        <w:rPr>
          <w:sz w:val="24"/>
          <w:szCs w:val="28"/>
          <w:lang w:val="en-US"/>
        </w:rPr>
        <w:t xml:space="preserve"> inequality, </w:t>
      </w:r>
      <w:r w:rsidR="00853BF3">
        <w:rPr>
          <w:sz w:val="24"/>
          <w:szCs w:val="28"/>
          <w:lang w:val="en-US"/>
        </w:rPr>
        <w:t xml:space="preserve">income, wealth, </w:t>
      </w:r>
      <w:r>
        <w:rPr>
          <w:sz w:val="24"/>
          <w:szCs w:val="28"/>
          <w:lang w:val="en-US"/>
        </w:rPr>
        <w:t>distributions</w:t>
      </w:r>
      <w:r w:rsidR="00853BF3">
        <w:rPr>
          <w:sz w:val="24"/>
          <w:szCs w:val="28"/>
          <w:lang w:val="en-US"/>
        </w:rPr>
        <w:t xml:space="preserve">, </w:t>
      </w:r>
      <w:r>
        <w:rPr>
          <w:sz w:val="24"/>
          <w:szCs w:val="28"/>
          <w:lang w:val="en-US"/>
        </w:rPr>
        <w:t xml:space="preserve">isograph, </w:t>
      </w:r>
      <w:r w:rsidR="00853BF3">
        <w:rPr>
          <w:sz w:val="24"/>
          <w:szCs w:val="28"/>
          <w:lang w:val="en-US"/>
        </w:rPr>
        <w:t>logitrank</w:t>
      </w:r>
    </w:p>
    <w:p w14:paraId="709411F3" w14:textId="77777777" w:rsidR="00A630FB" w:rsidRDefault="00A630FB" w:rsidP="00AF0CE3">
      <w:pPr>
        <w:jc w:val="both"/>
        <w:rPr>
          <w:lang w:val="en-US"/>
        </w:rPr>
      </w:pPr>
    </w:p>
    <w:p w14:paraId="7B8195C1" w14:textId="6F79493F" w:rsidR="00E5405C" w:rsidRDefault="00E5405C">
      <w:pPr>
        <w:rPr>
          <w:lang w:val="en-US"/>
        </w:rPr>
      </w:pPr>
      <w:r>
        <w:rPr>
          <w:lang w:val="en-US"/>
        </w:rPr>
        <w:br w:type="page"/>
      </w:r>
    </w:p>
    <w:p w14:paraId="1AFBF019" w14:textId="77777777" w:rsidR="00D025E2" w:rsidRPr="00AC33A5" w:rsidRDefault="00D025E2" w:rsidP="00AF0CE3">
      <w:pPr>
        <w:jc w:val="both"/>
        <w:rPr>
          <w:lang w:val="en-US"/>
        </w:rPr>
      </w:pPr>
    </w:p>
    <w:p w14:paraId="355AFE55" w14:textId="77777777" w:rsidR="00647747" w:rsidRPr="003A54AD" w:rsidRDefault="00647747" w:rsidP="00AF0CE3">
      <w:pPr>
        <w:numPr>
          <w:ilvl w:val="0"/>
          <w:numId w:val="5"/>
        </w:numPr>
        <w:spacing w:after="120" w:line="480" w:lineRule="auto"/>
        <w:jc w:val="both"/>
        <w:rPr>
          <w:b/>
          <w:sz w:val="24"/>
          <w:szCs w:val="24"/>
          <w:lang w:val="en-GB"/>
        </w:rPr>
      </w:pPr>
      <w:r>
        <w:rPr>
          <w:b/>
          <w:sz w:val="24"/>
          <w:szCs w:val="24"/>
          <w:lang w:val="en-US"/>
        </w:rPr>
        <w:t>Introduction</w:t>
      </w:r>
      <w:r w:rsidR="002269D9">
        <w:rPr>
          <w:b/>
          <w:sz w:val="24"/>
          <w:szCs w:val="24"/>
          <w:lang w:val="en-US"/>
        </w:rPr>
        <w:t xml:space="preserve">: </w:t>
      </w:r>
      <w:r w:rsidR="005E3E89">
        <w:rPr>
          <w:b/>
          <w:sz w:val="24"/>
          <w:szCs w:val="24"/>
          <w:lang w:val="en-US"/>
        </w:rPr>
        <w:t>income and wealth inequality and the study of power tails</w:t>
      </w:r>
    </w:p>
    <w:p w14:paraId="7EDBC809" w14:textId="4FC7AEF5" w:rsidR="006023CF" w:rsidRDefault="0039578B" w:rsidP="00170A14">
      <w:pPr>
        <w:spacing w:after="120" w:line="480" w:lineRule="auto"/>
        <w:jc w:val="both"/>
        <w:rPr>
          <w:sz w:val="24"/>
          <w:szCs w:val="24"/>
          <w:lang w:val="en-GB"/>
        </w:rPr>
      </w:pPr>
      <w:r>
        <w:rPr>
          <w:sz w:val="24"/>
          <w:szCs w:val="24"/>
          <w:lang w:val="en-GB"/>
        </w:rPr>
        <w:t>Wealth and i</w:t>
      </w:r>
      <w:r w:rsidR="006023CF">
        <w:rPr>
          <w:sz w:val="24"/>
          <w:szCs w:val="24"/>
          <w:lang w:val="en-GB"/>
        </w:rPr>
        <w:t>ncome distribution</w:t>
      </w:r>
      <w:r>
        <w:rPr>
          <w:sz w:val="24"/>
          <w:szCs w:val="24"/>
          <w:lang w:val="en-GB"/>
        </w:rPr>
        <w:t>s</w:t>
      </w:r>
      <w:r w:rsidR="006023CF">
        <w:rPr>
          <w:sz w:val="24"/>
          <w:szCs w:val="24"/>
          <w:lang w:val="en-GB"/>
        </w:rPr>
        <w:t xml:space="preserve"> in the </w:t>
      </w:r>
      <w:r w:rsidR="009B25C0">
        <w:rPr>
          <w:sz w:val="24"/>
          <w:szCs w:val="24"/>
          <w:lang w:val="en-GB"/>
        </w:rPr>
        <w:t>US</w:t>
      </w:r>
      <w:r w:rsidR="006023CF">
        <w:rPr>
          <w:sz w:val="24"/>
          <w:szCs w:val="24"/>
          <w:lang w:val="en-GB"/>
        </w:rPr>
        <w:t xml:space="preserve"> </w:t>
      </w:r>
      <w:r w:rsidR="00AC33A5">
        <w:rPr>
          <w:sz w:val="24"/>
          <w:szCs w:val="24"/>
          <w:lang w:val="en-GB"/>
        </w:rPr>
        <w:t xml:space="preserve">exemplify </w:t>
      </w:r>
      <w:r w:rsidR="006023CF">
        <w:rPr>
          <w:sz w:val="24"/>
          <w:szCs w:val="24"/>
          <w:lang w:val="en-GB"/>
        </w:rPr>
        <w:t>the deep trend of inequality in contemporary capitalism</w:t>
      </w:r>
      <w:r w:rsidR="00774B5D">
        <w:rPr>
          <w:sz w:val="24"/>
          <w:szCs w:val="24"/>
          <w:lang w:val="en-GB"/>
        </w:rPr>
        <w:t xml:space="preserve"> </w:t>
      </w:r>
      <w:r w:rsidR="00774B5D" w:rsidRPr="00AC33A5">
        <w:rPr>
          <w:sz w:val="24"/>
          <w:lang w:val="en-US"/>
        </w:rPr>
        <w:t>(</w:t>
      </w:r>
      <w:r w:rsidR="00CB70C9">
        <w:rPr>
          <w:sz w:val="24"/>
          <w:szCs w:val="24"/>
          <w:lang w:val="en-GB"/>
        </w:rPr>
        <w:t xml:space="preserve">Atkinson, 2016; </w:t>
      </w:r>
      <w:r w:rsidR="00774B5D" w:rsidRPr="00AC33A5">
        <w:rPr>
          <w:sz w:val="24"/>
          <w:lang w:val="en-US"/>
        </w:rPr>
        <w:t>Atkinson &amp; Bourguignon, 1995; Piketty, 2014; Wolff, 2016)</w:t>
      </w:r>
      <w:r w:rsidR="006023CF">
        <w:rPr>
          <w:sz w:val="24"/>
          <w:szCs w:val="24"/>
          <w:lang w:val="en-GB"/>
        </w:rPr>
        <w:t xml:space="preserve">. Even if income is better known empirically than wealth, </w:t>
      </w:r>
      <w:r w:rsidR="00AF18FC">
        <w:rPr>
          <w:sz w:val="24"/>
          <w:szCs w:val="24"/>
          <w:lang w:val="en-GB"/>
        </w:rPr>
        <w:t xml:space="preserve">there is </w:t>
      </w:r>
      <w:r w:rsidR="006023CF">
        <w:rPr>
          <w:sz w:val="24"/>
          <w:szCs w:val="24"/>
          <w:lang w:val="en-GB"/>
        </w:rPr>
        <w:t xml:space="preserve">evidence </w:t>
      </w:r>
      <w:r w:rsidR="00AF18FC">
        <w:rPr>
          <w:sz w:val="24"/>
          <w:szCs w:val="24"/>
          <w:lang w:val="en-GB"/>
        </w:rPr>
        <w:t xml:space="preserve">pointing towards </w:t>
      </w:r>
      <w:r w:rsidR="006023CF">
        <w:rPr>
          <w:sz w:val="24"/>
          <w:szCs w:val="24"/>
          <w:lang w:val="en-GB"/>
        </w:rPr>
        <w:t xml:space="preserve">transformations </w:t>
      </w:r>
      <w:r w:rsidR="00FC0453">
        <w:rPr>
          <w:sz w:val="24"/>
          <w:szCs w:val="24"/>
          <w:lang w:val="en-GB"/>
        </w:rPr>
        <w:t xml:space="preserve">in the latter </w:t>
      </w:r>
      <w:r w:rsidR="00774B5D" w:rsidRPr="00AC33A5">
        <w:rPr>
          <w:sz w:val="24"/>
          <w:lang w:val="en-US"/>
        </w:rPr>
        <w:t>(Piketty, 2014; Saez &amp; Zucman, 2016)</w:t>
      </w:r>
      <w:r w:rsidR="006023CF">
        <w:rPr>
          <w:sz w:val="24"/>
          <w:szCs w:val="24"/>
          <w:lang w:val="en-GB"/>
        </w:rPr>
        <w:t>. The</w:t>
      </w:r>
      <w:r w:rsidR="00AF18FC">
        <w:rPr>
          <w:sz w:val="24"/>
          <w:szCs w:val="24"/>
          <w:lang w:val="en-GB"/>
        </w:rPr>
        <w:t xml:space="preserve"> link between the</w:t>
      </w:r>
      <w:r w:rsidR="006023CF">
        <w:rPr>
          <w:sz w:val="24"/>
          <w:szCs w:val="24"/>
          <w:lang w:val="en-GB"/>
        </w:rPr>
        <w:t xml:space="preserve"> trends </w:t>
      </w:r>
      <w:r w:rsidR="00584767">
        <w:rPr>
          <w:sz w:val="24"/>
          <w:szCs w:val="24"/>
          <w:lang w:val="en-GB"/>
        </w:rPr>
        <w:t>in</w:t>
      </w:r>
      <w:r w:rsidR="00FC0453">
        <w:rPr>
          <w:sz w:val="24"/>
          <w:szCs w:val="24"/>
          <w:lang w:val="en-GB"/>
        </w:rPr>
        <w:t xml:space="preserve"> income and wealth </w:t>
      </w:r>
      <w:r w:rsidR="006023CF">
        <w:rPr>
          <w:sz w:val="24"/>
          <w:szCs w:val="24"/>
          <w:lang w:val="en-GB"/>
        </w:rPr>
        <w:t xml:space="preserve">are not </w:t>
      </w:r>
      <w:r w:rsidR="00AF18FC">
        <w:rPr>
          <w:sz w:val="24"/>
          <w:szCs w:val="24"/>
          <w:lang w:val="en-GB"/>
        </w:rPr>
        <w:t>fully understood</w:t>
      </w:r>
      <w:r w:rsidR="00666A7D">
        <w:rPr>
          <w:sz w:val="24"/>
          <w:szCs w:val="24"/>
          <w:lang w:val="en-GB"/>
        </w:rPr>
        <w:t xml:space="preserve"> </w:t>
      </w:r>
      <w:r w:rsidR="00666A7D" w:rsidRPr="00AC33A5">
        <w:rPr>
          <w:sz w:val="24"/>
          <w:lang w:val="en-US"/>
        </w:rPr>
        <w:t>(Jenkins, 2009)</w:t>
      </w:r>
      <w:r w:rsidR="006023CF">
        <w:rPr>
          <w:sz w:val="24"/>
          <w:szCs w:val="24"/>
          <w:lang w:val="en-GB"/>
        </w:rPr>
        <w:t xml:space="preserve">, </w:t>
      </w:r>
      <w:r w:rsidR="0005318A">
        <w:rPr>
          <w:sz w:val="24"/>
          <w:szCs w:val="24"/>
          <w:lang w:val="en-GB"/>
        </w:rPr>
        <w:t xml:space="preserve">although in recent years, a few scholars, among which foremost Sir Anthony Atkinson, have enormously advanced the academic as well as the political debate on economic inequality. </w:t>
      </w:r>
      <w:r w:rsidR="00584767">
        <w:rPr>
          <w:sz w:val="24"/>
          <w:szCs w:val="24"/>
          <w:lang w:val="en-GB"/>
        </w:rPr>
        <w:t>T</w:t>
      </w:r>
      <w:r w:rsidR="0005318A">
        <w:rPr>
          <w:sz w:val="24"/>
          <w:szCs w:val="24"/>
          <w:lang w:val="en-GB"/>
        </w:rPr>
        <w:t>he joint analysis of income and wealth</w:t>
      </w:r>
      <w:r w:rsidR="009B25C0">
        <w:rPr>
          <w:sz w:val="24"/>
          <w:szCs w:val="24"/>
          <w:lang w:val="en-GB"/>
        </w:rPr>
        <w:t xml:space="preserve"> inequality</w:t>
      </w:r>
      <w:r w:rsidR="0005318A">
        <w:rPr>
          <w:sz w:val="24"/>
          <w:szCs w:val="24"/>
          <w:lang w:val="en-GB"/>
        </w:rPr>
        <w:t xml:space="preserve"> is import</w:t>
      </w:r>
      <w:r w:rsidR="00584767">
        <w:rPr>
          <w:sz w:val="24"/>
          <w:szCs w:val="24"/>
          <w:lang w:val="en-GB"/>
        </w:rPr>
        <w:t xml:space="preserve">ant to </w:t>
      </w:r>
      <w:r w:rsidR="00C756C1">
        <w:rPr>
          <w:sz w:val="24"/>
          <w:szCs w:val="24"/>
          <w:lang w:val="en-GB"/>
        </w:rPr>
        <w:t xml:space="preserve">improve the diagnosis of the </w:t>
      </w:r>
      <w:r w:rsidR="0005318A">
        <w:rPr>
          <w:sz w:val="24"/>
          <w:szCs w:val="24"/>
          <w:lang w:val="en-GB"/>
        </w:rPr>
        <w:t xml:space="preserve">current </w:t>
      </w:r>
      <w:r w:rsidR="00C756C1">
        <w:rPr>
          <w:sz w:val="24"/>
          <w:szCs w:val="24"/>
          <w:lang w:val="en-GB"/>
        </w:rPr>
        <w:t>economic trends in terms of shrinking middle class</w:t>
      </w:r>
      <w:r>
        <w:rPr>
          <w:sz w:val="24"/>
          <w:szCs w:val="24"/>
          <w:lang w:val="en-GB"/>
        </w:rPr>
        <w:t xml:space="preserve"> </w:t>
      </w:r>
      <w:r w:rsidR="00E313DF" w:rsidRPr="00AF0CE3">
        <w:rPr>
          <w:sz w:val="24"/>
          <w:lang w:val="en-US"/>
        </w:rPr>
        <w:t xml:space="preserve">(Cowell &amp; </w:t>
      </w:r>
      <w:r w:rsidR="00584767">
        <w:rPr>
          <w:sz w:val="24"/>
          <w:lang w:val="en-US"/>
        </w:rPr>
        <w:t xml:space="preserve">Van </w:t>
      </w:r>
      <w:r w:rsidR="00E313DF" w:rsidRPr="00AF0CE3">
        <w:rPr>
          <w:sz w:val="24"/>
          <w:lang w:val="en-US"/>
        </w:rPr>
        <w:t>Kerm, 2015; Semyonov &amp; Lewin-Epstein, 2013; Skopek, 2015)</w:t>
      </w:r>
      <w:r w:rsidR="00D149AE">
        <w:rPr>
          <w:sz w:val="24"/>
          <w:lang w:val="en-US"/>
        </w:rPr>
        <w:t xml:space="preserve">, in which the role of wealth has not been </w:t>
      </w:r>
      <w:r w:rsidR="008938BD">
        <w:rPr>
          <w:sz w:val="24"/>
          <w:lang w:val="en-US"/>
        </w:rPr>
        <w:t xml:space="preserve">fully </w:t>
      </w:r>
      <w:r w:rsidR="00D149AE">
        <w:rPr>
          <w:sz w:val="24"/>
          <w:lang w:val="en-US"/>
        </w:rPr>
        <w:t>considered</w:t>
      </w:r>
      <w:r w:rsidR="00C756C1">
        <w:rPr>
          <w:sz w:val="24"/>
          <w:szCs w:val="24"/>
          <w:lang w:val="en-GB"/>
        </w:rPr>
        <w:t xml:space="preserve">. </w:t>
      </w:r>
      <w:r w:rsidR="008938BD">
        <w:rPr>
          <w:sz w:val="24"/>
          <w:szCs w:val="24"/>
          <w:lang w:val="en-GB"/>
        </w:rPr>
        <w:t>Wealth may be buffering or delaying the repercussions of a</w:t>
      </w:r>
      <w:r w:rsidR="00D149AE">
        <w:rPr>
          <w:sz w:val="24"/>
          <w:szCs w:val="24"/>
          <w:lang w:val="en-GB"/>
        </w:rPr>
        <w:t xml:space="preserve"> shrinking middle</w:t>
      </w:r>
      <w:r w:rsidR="008938BD">
        <w:rPr>
          <w:sz w:val="24"/>
          <w:szCs w:val="24"/>
          <w:lang w:val="en-GB"/>
        </w:rPr>
        <w:t xml:space="preserve"> (income)</w:t>
      </w:r>
      <w:r w:rsidR="00D149AE">
        <w:rPr>
          <w:sz w:val="24"/>
          <w:szCs w:val="24"/>
          <w:lang w:val="en-GB"/>
        </w:rPr>
        <w:t xml:space="preserve"> class</w:t>
      </w:r>
      <w:r w:rsidR="008938BD">
        <w:rPr>
          <w:sz w:val="24"/>
          <w:szCs w:val="24"/>
          <w:lang w:val="en-GB"/>
        </w:rPr>
        <w:t>.</w:t>
      </w:r>
      <w:r w:rsidR="00D149AE">
        <w:rPr>
          <w:sz w:val="24"/>
          <w:szCs w:val="24"/>
          <w:lang w:val="en-GB"/>
        </w:rPr>
        <w:t xml:space="preserve"> </w:t>
      </w:r>
      <w:r w:rsidR="00813570">
        <w:rPr>
          <w:sz w:val="24"/>
          <w:szCs w:val="24"/>
          <w:lang w:val="en-GB"/>
        </w:rPr>
        <w:t>As inheritance plays a key role</w:t>
      </w:r>
      <w:r w:rsidR="00AE5379">
        <w:rPr>
          <w:sz w:val="24"/>
          <w:szCs w:val="24"/>
          <w:lang w:val="en-GB"/>
        </w:rPr>
        <w:t xml:space="preserve"> (Cowell et al 2017)</w:t>
      </w:r>
      <w:r w:rsidR="00813570">
        <w:rPr>
          <w:sz w:val="24"/>
          <w:szCs w:val="24"/>
          <w:lang w:val="en-GB"/>
        </w:rPr>
        <w:t xml:space="preserve">, wealth inequality has also implications for intergenerational equity. </w:t>
      </w:r>
      <w:r w:rsidR="00170A14">
        <w:rPr>
          <w:sz w:val="24"/>
          <w:szCs w:val="24"/>
          <w:lang w:val="en-GB"/>
        </w:rPr>
        <w:t xml:space="preserve">A better </w:t>
      </w:r>
      <w:r w:rsidR="00170A14" w:rsidRPr="00AC56B9">
        <w:rPr>
          <w:i/>
          <w:sz w:val="24"/>
          <w:szCs w:val="24"/>
          <w:lang w:val="en-GB"/>
        </w:rPr>
        <w:t>methodological</w:t>
      </w:r>
      <w:r w:rsidR="00170A14">
        <w:rPr>
          <w:sz w:val="24"/>
          <w:szCs w:val="24"/>
          <w:lang w:val="en-GB"/>
        </w:rPr>
        <w:t xml:space="preserve"> understanding of </w:t>
      </w:r>
      <w:r w:rsidR="00AF18FC">
        <w:rPr>
          <w:sz w:val="24"/>
          <w:szCs w:val="24"/>
          <w:lang w:val="en-GB"/>
        </w:rPr>
        <w:t xml:space="preserve">the nexus of </w:t>
      </w:r>
      <w:r w:rsidR="00170A14">
        <w:rPr>
          <w:sz w:val="24"/>
          <w:szCs w:val="24"/>
          <w:lang w:val="en-GB"/>
        </w:rPr>
        <w:t xml:space="preserve">income and wealth </w:t>
      </w:r>
      <w:r w:rsidR="00170A14" w:rsidRPr="00243A0B">
        <w:rPr>
          <w:sz w:val="24"/>
          <w:lang w:val="en-US"/>
        </w:rPr>
        <w:t>(J</w:t>
      </w:r>
      <w:r w:rsidR="008938BD">
        <w:rPr>
          <w:sz w:val="24"/>
          <w:lang w:val="en-US"/>
        </w:rPr>
        <w:t>ä</w:t>
      </w:r>
      <w:r w:rsidR="00170A14" w:rsidRPr="00243A0B">
        <w:rPr>
          <w:sz w:val="24"/>
          <w:lang w:val="en-US"/>
        </w:rPr>
        <w:t>ntti, Sierminska, &amp; Smeeding, 2008</w:t>
      </w:r>
      <w:r w:rsidR="008938BD">
        <w:rPr>
          <w:sz w:val="24"/>
          <w:lang w:val="en-US"/>
        </w:rPr>
        <w:t>;</w:t>
      </w:r>
      <w:r w:rsidR="00CE32F5" w:rsidRPr="001505F1">
        <w:rPr>
          <w:lang w:val="en-US"/>
        </w:rPr>
        <w:t xml:space="preserve"> </w:t>
      </w:r>
      <w:r w:rsidR="00CE32F5" w:rsidRPr="00CE32F5">
        <w:rPr>
          <w:sz w:val="24"/>
          <w:lang w:val="en-US"/>
        </w:rPr>
        <w:t>Jäntti, Sierminska. &amp; Van Kerm, 2013</w:t>
      </w:r>
      <w:r w:rsidR="00CE32F5">
        <w:rPr>
          <w:sz w:val="24"/>
          <w:lang w:val="en-US"/>
        </w:rPr>
        <w:t>, 2015</w:t>
      </w:r>
      <w:r w:rsidR="00170A14" w:rsidRPr="00243A0B">
        <w:rPr>
          <w:sz w:val="24"/>
          <w:lang w:val="en-US"/>
        </w:rPr>
        <w:t>)</w:t>
      </w:r>
      <w:r w:rsidR="00D45FA9" w:rsidRPr="00243A0B">
        <w:rPr>
          <w:sz w:val="24"/>
          <w:lang w:val="en-US"/>
        </w:rPr>
        <w:t xml:space="preserve"> </w:t>
      </w:r>
      <w:r w:rsidR="00170A14">
        <w:rPr>
          <w:sz w:val="24"/>
          <w:szCs w:val="24"/>
          <w:lang w:val="en-GB"/>
        </w:rPr>
        <w:t xml:space="preserve">could </w:t>
      </w:r>
      <w:r w:rsidR="0005318A">
        <w:rPr>
          <w:sz w:val="24"/>
          <w:szCs w:val="24"/>
          <w:lang w:val="en-GB"/>
        </w:rPr>
        <w:t xml:space="preserve">furthermore </w:t>
      </w:r>
      <w:r w:rsidR="00170A14">
        <w:rPr>
          <w:sz w:val="24"/>
          <w:szCs w:val="24"/>
          <w:lang w:val="en-GB"/>
        </w:rPr>
        <w:t xml:space="preserve">provide tools to improve our knowledge in multidimensional inequality </w:t>
      </w:r>
      <w:r w:rsidR="00170A14" w:rsidRPr="00243A0B">
        <w:rPr>
          <w:sz w:val="24"/>
          <w:lang w:val="en-US"/>
        </w:rPr>
        <w:t>(Fisher</w:t>
      </w:r>
      <w:r w:rsidR="0066463B">
        <w:rPr>
          <w:sz w:val="24"/>
          <w:lang w:val="en-US"/>
        </w:rPr>
        <w:t xml:space="preserve"> et al.</w:t>
      </w:r>
      <w:r w:rsidR="00170A14" w:rsidRPr="00243A0B">
        <w:rPr>
          <w:sz w:val="24"/>
          <w:lang w:val="en-US"/>
        </w:rPr>
        <w:t>, 2016)</w:t>
      </w:r>
      <w:r w:rsidR="00170A14">
        <w:rPr>
          <w:sz w:val="24"/>
          <w:szCs w:val="24"/>
          <w:lang w:val="en-GB"/>
        </w:rPr>
        <w:t>.</w:t>
      </w:r>
    </w:p>
    <w:p w14:paraId="5095F435" w14:textId="7D77C1E7" w:rsidR="00C756C1" w:rsidRDefault="00813570" w:rsidP="00AF0CE3">
      <w:pPr>
        <w:spacing w:after="120" w:line="480" w:lineRule="auto"/>
        <w:jc w:val="both"/>
        <w:rPr>
          <w:sz w:val="24"/>
          <w:szCs w:val="24"/>
          <w:lang w:val="en-GB"/>
        </w:rPr>
      </w:pPr>
      <w:r>
        <w:rPr>
          <w:sz w:val="24"/>
          <w:szCs w:val="24"/>
          <w:lang w:val="en-US"/>
        </w:rPr>
        <w:t xml:space="preserve">In his last book, Tony Atkinson emphasized that we can learn much from the past, by analyzing economic as well as political circumstances from periods where inequality was low, in order to combat rising inequality in the future. </w:t>
      </w:r>
      <w:r w:rsidR="00C756C1">
        <w:rPr>
          <w:sz w:val="24"/>
          <w:szCs w:val="24"/>
          <w:lang w:val="en-GB"/>
        </w:rPr>
        <w:t>In this paper</w:t>
      </w:r>
      <w:r w:rsidR="004B4E43">
        <w:rPr>
          <w:sz w:val="24"/>
          <w:szCs w:val="24"/>
          <w:lang w:val="en-GB"/>
        </w:rPr>
        <w:t>,</w:t>
      </w:r>
      <w:r w:rsidR="00C756C1">
        <w:rPr>
          <w:sz w:val="24"/>
          <w:szCs w:val="24"/>
          <w:lang w:val="en-GB"/>
        </w:rPr>
        <w:t xml:space="preserve"> we </w:t>
      </w:r>
      <w:r>
        <w:rPr>
          <w:sz w:val="24"/>
          <w:szCs w:val="24"/>
          <w:lang w:val="en-GB"/>
        </w:rPr>
        <w:t xml:space="preserve">analyse the development in income and wealth inequality over the last </w:t>
      </w:r>
      <w:r w:rsidR="008938BD">
        <w:rPr>
          <w:sz w:val="24"/>
          <w:szCs w:val="24"/>
          <w:lang w:val="en-GB"/>
        </w:rPr>
        <w:t xml:space="preserve">two </w:t>
      </w:r>
      <w:r>
        <w:rPr>
          <w:sz w:val="24"/>
          <w:szCs w:val="24"/>
          <w:lang w:val="en-GB"/>
        </w:rPr>
        <w:t>decade</w:t>
      </w:r>
      <w:r w:rsidR="008938BD">
        <w:rPr>
          <w:sz w:val="24"/>
          <w:szCs w:val="24"/>
          <w:lang w:val="en-GB"/>
        </w:rPr>
        <w:t>s</w:t>
      </w:r>
      <w:r>
        <w:rPr>
          <w:sz w:val="24"/>
          <w:szCs w:val="24"/>
          <w:lang w:val="en-GB"/>
        </w:rPr>
        <w:t xml:space="preserve"> in the US. </w:t>
      </w:r>
      <w:r w:rsidR="00AE5379">
        <w:rPr>
          <w:sz w:val="24"/>
          <w:szCs w:val="24"/>
          <w:lang w:val="en-GB"/>
        </w:rPr>
        <w:t>T</w:t>
      </w:r>
      <w:r w:rsidR="00AE5379" w:rsidRPr="00AE5379">
        <w:rPr>
          <w:sz w:val="24"/>
          <w:szCs w:val="24"/>
          <w:lang w:val="en-GB"/>
        </w:rPr>
        <w:t xml:space="preserve">he </w:t>
      </w:r>
      <w:r w:rsidR="00AE5379">
        <w:rPr>
          <w:sz w:val="24"/>
          <w:szCs w:val="24"/>
          <w:lang w:val="en-GB"/>
        </w:rPr>
        <w:t>US is an interesting case, as w</w:t>
      </w:r>
      <w:r w:rsidR="00AE5379" w:rsidRPr="00AE5379">
        <w:rPr>
          <w:sz w:val="24"/>
          <w:szCs w:val="24"/>
          <w:lang w:val="en-GB"/>
        </w:rPr>
        <w:t xml:space="preserve">ealth is </w:t>
      </w:r>
      <w:r w:rsidR="00AE5379">
        <w:rPr>
          <w:sz w:val="24"/>
          <w:szCs w:val="24"/>
          <w:lang w:val="en-GB"/>
        </w:rPr>
        <w:t>disproportionally</w:t>
      </w:r>
      <w:r w:rsidR="00AE5379" w:rsidRPr="00AE5379">
        <w:rPr>
          <w:sz w:val="24"/>
          <w:szCs w:val="24"/>
          <w:lang w:val="en-GB"/>
        </w:rPr>
        <w:t xml:space="preserve"> more unequally distributed than income, </w:t>
      </w:r>
      <w:r w:rsidR="00AE5379">
        <w:rPr>
          <w:sz w:val="24"/>
          <w:szCs w:val="24"/>
          <w:lang w:val="en-GB"/>
        </w:rPr>
        <w:t>compared to other countries (Cowell et al</w:t>
      </w:r>
      <w:r w:rsidR="008938BD">
        <w:rPr>
          <w:sz w:val="24"/>
          <w:szCs w:val="24"/>
          <w:lang w:val="en-GB"/>
        </w:rPr>
        <w:t>,</w:t>
      </w:r>
      <w:r w:rsidR="00AE5379">
        <w:rPr>
          <w:sz w:val="24"/>
          <w:szCs w:val="24"/>
          <w:lang w:val="en-GB"/>
        </w:rPr>
        <w:t xml:space="preserve"> 2017). </w:t>
      </w:r>
    </w:p>
    <w:p w14:paraId="124F92FA" w14:textId="011AB069" w:rsidR="00CE75A2" w:rsidRDefault="00FC0453" w:rsidP="00AC56B9">
      <w:pPr>
        <w:spacing w:after="120" w:line="480" w:lineRule="auto"/>
        <w:jc w:val="both"/>
        <w:rPr>
          <w:sz w:val="24"/>
          <w:szCs w:val="24"/>
          <w:lang w:val="en-GB"/>
        </w:rPr>
      </w:pPr>
      <w:r>
        <w:rPr>
          <w:sz w:val="24"/>
          <w:szCs w:val="24"/>
          <w:lang w:val="en-GB"/>
        </w:rPr>
        <w:lastRenderedPageBreak/>
        <w:t xml:space="preserve">A general problem </w:t>
      </w:r>
      <w:r w:rsidR="00A470CE">
        <w:rPr>
          <w:sz w:val="24"/>
          <w:szCs w:val="24"/>
          <w:lang w:val="en-GB"/>
        </w:rPr>
        <w:t xml:space="preserve">in the study of income and wealth distribution </w:t>
      </w:r>
      <w:r>
        <w:rPr>
          <w:sz w:val="24"/>
          <w:szCs w:val="24"/>
          <w:lang w:val="en-GB"/>
        </w:rPr>
        <w:t xml:space="preserve">is to assess where </w:t>
      </w:r>
      <w:r w:rsidR="00EC734D">
        <w:rPr>
          <w:sz w:val="24"/>
          <w:szCs w:val="24"/>
          <w:lang w:val="en-GB"/>
        </w:rPr>
        <w:t>the most important changes on the resource scale happened</w:t>
      </w:r>
      <w:r>
        <w:rPr>
          <w:sz w:val="24"/>
          <w:szCs w:val="24"/>
          <w:lang w:val="en-GB"/>
        </w:rPr>
        <w:t xml:space="preserve">. </w:t>
      </w:r>
      <w:r w:rsidR="00A470CE">
        <w:rPr>
          <w:sz w:val="24"/>
          <w:szCs w:val="24"/>
          <w:lang w:val="en-GB"/>
        </w:rPr>
        <w:t xml:space="preserve">Previous studies </w:t>
      </w:r>
      <w:r w:rsidR="001D0933">
        <w:rPr>
          <w:sz w:val="24"/>
          <w:szCs w:val="24"/>
          <w:lang w:val="en-GB"/>
        </w:rPr>
        <w:t xml:space="preserve">recommended </w:t>
      </w:r>
      <w:r w:rsidR="00A470CE">
        <w:rPr>
          <w:sz w:val="24"/>
          <w:szCs w:val="24"/>
          <w:lang w:val="en-GB"/>
        </w:rPr>
        <w:t xml:space="preserve">to </w:t>
      </w:r>
      <w:r w:rsidR="00EC734D">
        <w:rPr>
          <w:sz w:val="24"/>
          <w:szCs w:val="24"/>
          <w:lang w:val="en-GB"/>
        </w:rPr>
        <w:t>analys</w:t>
      </w:r>
      <w:r w:rsidR="00A470CE">
        <w:rPr>
          <w:sz w:val="24"/>
          <w:szCs w:val="24"/>
          <w:lang w:val="en-GB"/>
        </w:rPr>
        <w:t>e</w:t>
      </w:r>
      <w:r w:rsidR="00EC734D">
        <w:rPr>
          <w:sz w:val="24"/>
          <w:szCs w:val="24"/>
          <w:lang w:val="en-GB"/>
        </w:rPr>
        <w:t xml:space="preserve"> detailed percentiles</w:t>
      </w:r>
      <w:r w:rsidR="00874B2D">
        <w:rPr>
          <w:sz w:val="24"/>
          <w:szCs w:val="24"/>
          <w:lang w:val="en-GB"/>
        </w:rPr>
        <w:t xml:space="preserve"> of income or wealth</w:t>
      </w:r>
      <w:r w:rsidR="00EC734D">
        <w:rPr>
          <w:sz w:val="24"/>
          <w:szCs w:val="24"/>
          <w:lang w:val="en-GB"/>
        </w:rPr>
        <w:t xml:space="preserve"> </w:t>
      </w:r>
      <w:r w:rsidR="00A470CE" w:rsidRPr="00AC33A5">
        <w:rPr>
          <w:sz w:val="24"/>
          <w:szCs w:val="24"/>
          <w:lang w:val="en-US"/>
        </w:rPr>
        <w:t>(Díaz-Giménez, Quadrini, &amp; Ríos-Rull, 1997; Wolff, 1998)</w:t>
      </w:r>
      <w:r w:rsidR="00CB70C9">
        <w:rPr>
          <w:sz w:val="24"/>
          <w:szCs w:val="24"/>
          <w:lang w:val="en-US"/>
        </w:rPr>
        <w:t xml:space="preserve"> better than general indices like the Gini</w:t>
      </w:r>
      <w:r w:rsidR="00EC734D">
        <w:rPr>
          <w:sz w:val="24"/>
          <w:szCs w:val="24"/>
          <w:lang w:val="en-GB"/>
        </w:rPr>
        <w:t>.</w:t>
      </w:r>
      <w:r w:rsidR="008938BD">
        <w:rPr>
          <w:sz w:val="24"/>
          <w:szCs w:val="24"/>
          <w:lang w:val="en-GB"/>
        </w:rPr>
        <w:t xml:space="preserve"> W</w:t>
      </w:r>
      <w:r w:rsidR="00874B2D">
        <w:rPr>
          <w:sz w:val="24"/>
          <w:szCs w:val="24"/>
          <w:lang w:val="en-GB"/>
        </w:rPr>
        <w:t>e</w:t>
      </w:r>
      <w:r w:rsidR="00EC734D">
        <w:rPr>
          <w:sz w:val="24"/>
          <w:szCs w:val="24"/>
          <w:lang w:val="en-GB"/>
        </w:rPr>
        <w:t xml:space="preserve"> propose here a new method </w:t>
      </w:r>
      <w:r w:rsidR="00874B2D">
        <w:rPr>
          <w:sz w:val="24"/>
          <w:szCs w:val="24"/>
          <w:lang w:val="en-GB"/>
        </w:rPr>
        <w:t xml:space="preserve">that is suitable to measure </w:t>
      </w:r>
      <w:r w:rsidR="008938BD">
        <w:rPr>
          <w:sz w:val="24"/>
          <w:szCs w:val="24"/>
          <w:lang w:val="en-GB"/>
        </w:rPr>
        <w:t>inequality at</w:t>
      </w:r>
      <w:r w:rsidR="00874B2D">
        <w:rPr>
          <w:sz w:val="24"/>
          <w:szCs w:val="24"/>
          <w:lang w:val="en-GB"/>
        </w:rPr>
        <w:t xml:space="preserve"> each </w:t>
      </w:r>
      <w:r w:rsidR="008938BD">
        <w:rPr>
          <w:sz w:val="24"/>
          <w:szCs w:val="24"/>
          <w:lang w:val="en-GB"/>
        </w:rPr>
        <w:t xml:space="preserve">point of the distribution and </w:t>
      </w:r>
      <w:r w:rsidR="004B4E43">
        <w:rPr>
          <w:sz w:val="24"/>
          <w:szCs w:val="24"/>
          <w:lang w:val="en-GB"/>
        </w:rPr>
        <w:t xml:space="preserve">apply </w:t>
      </w:r>
      <w:r w:rsidR="00874B2D">
        <w:rPr>
          <w:sz w:val="24"/>
          <w:szCs w:val="24"/>
          <w:lang w:val="en-GB"/>
        </w:rPr>
        <w:t>it</w:t>
      </w:r>
      <w:r w:rsidR="00EC734D">
        <w:rPr>
          <w:sz w:val="24"/>
          <w:szCs w:val="24"/>
          <w:lang w:val="en-GB"/>
        </w:rPr>
        <w:t xml:space="preserve"> to income, wealth, and their relation. </w:t>
      </w:r>
      <w:r w:rsidR="00CE75A2">
        <w:rPr>
          <w:sz w:val="24"/>
          <w:szCs w:val="24"/>
          <w:lang w:val="en-GB"/>
        </w:rPr>
        <w:t xml:space="preserve">This proposal </w:t>
      </w:r>
      <w:r w:rsidR="00774B5D">
        <w:rPr>
          <w:sz w:val="24"/>
          <w:szCs w:val="24"/>
          <w:lang w:val="en-GB"/>
        </w:rPr>
        <w:t>offers</w:t>
      </w:r>
      <w:r w:rsidR="00CE75A2">
        <w:rPr>
          <w:sz w:val="24"/>
          <w:szCs w:val="24"/>
          <w:lang w:val="en-GB"/>
        </w:rPr>
        <w:t xml:space="preserve"> a more detailed analysis o</w:t>
      </w:r>
      <w:r w:rsidR="004B4E43">
        <w:rPr>
          <w:sz w:val="24"/>
          <w:szCs w:val="24"/>
          <w:lang w:val="en-GB"/>
        </w:rPr>
        <w:t>f</w:t>
      </w:r>
      <w:r w:rsidR="00CE75A2">
        <w:rPr>
          <w:sz w:val="24"/>
          <w:szCs w:val="24"/>
          <w:lang w:val="en-GB"/>
        </w:rPr>
        <w:t xml:space="preserve"> power tail</w:t>
      </w:r>
      <w:r w:rsidR="004B4E43">
        <w:rPr>
          <w:sz w:val="24"/>
          <w:szCs w:val="24"/>
          <w:lang w:val="en-GB"/>
        </w:rPr>
        <w:t xml:space="preserve"> distributions</w:t>
      </w:r>
      <w:r w:rsidR="00CE75A2">
        <w:rPr>
          <w:sz w:val="24"/>
          <w:szCs w:val="24"/>
          <w:lang w:val="en-GB"/>
        </w:rPr>
        <w:t xml:space="preserve">, with confidence intervals, and improve </w:t>
      </w:r>
      <w:r w:rsidR="00D76B7C">
        <w:rPr>
          <w:sz w:val="24"/>
          <w:szCs w:val="24"/>
          <w:lang w:val="en-GB"/>
        </w:rPr>
        <w:t xml:space="preserve">analyses based on percentiles. </w:t>
      </w:r>
      <w:r w:rsidR="00AE5379">
        <w:rPr>
          <w:sz w:val="24"/>
          <w:szCs w:val="24"/>
          <w:lang w:val="en-GB"/>
        </w:rPr>
        <w:t xml:space="preserve">Our results not only confirm the increasing inequality trends, but also reveal a large overlap between these two forms of inequality and the way they overlap: top wealth earners are not merely richer in </w:t>
      </w:r>
      <w:r w:rsidR="00386A22">
        <w:rPr>
          <w:sz w:val="24"/>
          <w:szCs w:val="24"/>
          <w:lang w:val="en-GB"/>
        </w:rPr>
        <w:t>accumulation;</w:t>
      </w:r>
      <w:r w:rsidR="00AE5379">
        <w:rPr>
          <w:sz w:val="24"/>
          <w:szCs w:val="24"/>
          <w:lang w:val="en-GB"/>
        </w:rPr>
        <w:t xml:space="preserve"> they are also the highest income receivers.</w:t>
      </w:r>
    </w:p>
    <w:p w14:paraId="085E58E7" w14:textId="77777777" w:rsidR="004E6805" w:rsidRDefault="004E6805" w:rsidP="00AF0CE3">
      <w:pPr>
        <w:spacing w:after="120" w:line="480" w:lineRule="auto"/>
        <w:jc w:val="both"/>
        <w:rPr>
          <w:sz w:val="24"/>
          <w:szCs w:val="24"/>
          <w:lang w:val="en-GB"/>
        </w:rPr>
      </w:pPr>
    </w:p>
    <w:p w14:paraId="11C62ADC" w14:textId="77777777" w:rsidR="006023CF" w:rsidRPr="003A54AD" w:rsidRDefault="006023CF" w:rsidP="00AF0CE3">
      <w:pPr>
        <w:numPr>
          <w:ilvl w:val="0"/>
          <w:numId w:val="5"/>
        </w:numPr>
        <w:spacing w:after="120" w:line="480" w:lineRule="auto"/>
        <w:jc w:val="both"/>
        <w:rPr>
          <w:b/>
          <w:sz w:val="24"/>
          <w:szCs w:val="24"/>
          <w:lang w:val="en-GB"/>
        </w:rPr>
      </w:pPr>
      <w:r>
        <w:rPr>
          <w:b/>
          <w:sz w:val="24"/>
          <w:szCs w:val="24"/>
          <w:lang w:val="en-US"/>
        </w:rPr>
        <w:t>Method</w:t>
      </w:r>
    </w:p>
    <w:p w14:paraId="7C6025EB" w14:textId="1FFEA842" w:rsidR="00AB5BE8" w:rsidRDefault="00AB5BE8" w:rsidP="00AF0CE3">
      <w:pPr>
        <w:spacing w:after="120" w:line="480" w:lineRule="auto"/>
        <w:jc w:val="both"/>
        <w:rPr>
          <w:sz w:val="24"/>
          <w:szCs w:val="24"/>
          <w:lang w:val="en-GB"/>
        </w:rPr>
      </w:pPr>
      <w:r>
        <w:rPr>
          <w:sz w:val="24"/>
          <w:szCs w:val="24"/>
          <w:lang w:val="en-GB"/>
        </w:rPr>
        <w:t xml:space="preserve">To give an overview over the inequality trends, we first </w:t>
      </w:r>
      <w:r w:rsidR="005D34F3">
        <w:rPr>
          <w:sz w:val="24"/>
          <w:szCs w:val="24"/>
          <w:lang w:val="en-GB"/>
        </w:rPr>
        <w:t xml:space="preserve">make </w:t>
      </w:r>
      <w:r>
        <w:rPr>
          <w:sz w:val="24"/>
          <w:szCs w:val="24"/>
          <w:lang w:val="en-GB"/>
        </w:rPr>
        <w:t xml:space="preserve">use </w:t>
      </w:r>
      <w:r w:rsidR="005D34F3">
        <w:rPr>
          <w:sz w:val="24"/>
          <w:szCs w:val="24"/>
          <w:lang w:val="en-GB"/>
        </w:rPr>
        <w:t>of</w:t>
      </w:r>
      <w:r>
        <w:rPr>
          <w:sz w:val="24"/>
          <w:szCs w:val="24"/>
          <w:lang w:val="en-GB"/>
        </w:rPr>
        <w:t xml:space="preserve"> the </w:t>
      </w:r>
      <w:r w:rsidRPr="00AC56B9">
        <w:rPr>
          <w:sz w:val="24"/>
          <w:szCs w:val="24"/>
          <w:lang w:val="en-GB"/>
        </w:rPr>
        <w:t xml:space="preserve">Atkinson </w:t>
      </w:r>
      <w:r w:rsidR="005D34F3">
        <w:rPr>
          <w:sz w:val="24"/>
          <w:szCs w:val="24"/>
          <w:lang w:val="en-GB"/>
        </w:rPr>
        <w:t>family of inequality measures (Atkinson, 1970)</w:t>
      </w:r>
      <w:r>
        <w:rPr>
          <w:sz w:val="24"/>
          <w:szCs w:val="24"/>
          <w:lang w:val="en-GB"/>
        </w:rPr>
        <w:t xml:space="preserve">, which are defined as follows: </w:t>
      </w:r>
    </w:p>
    <w:p w14:paraId="3FE4D848" w14:textId="77777777" w:rsidR="00AB5BE8" w:rsidRDefault="00AB5BE8" w:rsidP="008022A2">
      <w:pPr>
        <w:spacing w:after="120" w:line="480" w:lineRule="auto"/>
        <w:jc w:val="both"/>
        <w:rPr>
          <w:sz w:val="24"/>
          <w:szCs w:val="24"/>
          <w:lang w:val="en-GB"/>
        </w:rPr>
      </w:pPr>
      <w:r w:rsidRPr="00DD0D8A">
        <w:rPr>
          <w:noProof/>
          <w:sz w:val="24"/>
          <w:szCs w:val="24"/>
          <w:lang w:val="en-US" w:eastAsia="en-US"/>
        </w:rPr>
        <w:drawing>
          <wp:inline distT="0" distB="0" distL="0" distR="0" wp14:anchorId="6F19C20F" wp14:editId="3A573DA6">
            <wp:extent cx="2842472" cy="933723"/>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855782" cy="938095"/>
                    </a:xfrm>
                    <a:prstGeom prst="rect">
                      <a:avLst/>
                    </a:prstGeom>
                  </pic:spPr>
                </pic:pic>
              </a:graphicData>
            </a:graphic>
          </wp:inline>
        </w:drawing>
      </w:r>
    </w:p>
    <w:p w14:paraId="726C9E83" w14:textId="21198FA5" w:rsidR="002758D6" w:rsidRPr="002758D6" w:rsidRDefault="005D34F3" w:rsidP="00414571">
      <w:pPr>
        <w:spacing w:after="120" w:line="480" w:lineRule="auto"/>
        <w:jc w:val="both"/>
        <w:rPr>
          <w:sz w:val="24"/>
          <w:szCs w:val="24"/>
          <w:lang w:val="en-GB"/>
        </w:rPr>
      </w:pPr>
      <w:r>
        <w:rPr>
          <w:sz w:val="24"/>
          <w:szCs w:val="24"/>
          <w:lang w:val="en-GB"/>
        </w:rPr>
        <w:t>Compared to the Gini, t</w:t>
      </w:r>
      <w:r w:rsidR="00AB5BE8">
        <w:rPr>
          <w:sz w:val="24"/>
          <w:szCs w:val="24"/>
          <w:lang w:val="en-GB"/>
        </w:rPr>
        <w:t xml:space="preserve">he advantage of the Atkinson </w:t>
      </w:r>
      <w:r>
        <w:rPr>
          <w:sz w:val="24"/>
          <w:szCs w:val="24"/>
          <w:lang w:val="en-GB"/>
        </w:rPr>
        <w:t>measures</w:t>
      </w:r>
      <w:r w:rsidR="00AB5BE8">
        <w:rPr>
          <w:sz w:val="24"/>
          <w:szCs w:val="24"/>
          <w:lang w:val="en-GB"/>
        </w:rPr>
        <w:t xml:space="preserve"> is their </w:t>
      </w:r>
      <w:r w:rsidR="009B25C0">
        <w:rPr>
          <w:sz w:val="24"/>
          <w:szCs w:val="24"/>
          <w:lang w:val="en-GB"/>
        </w:rPr>
        <w:t xml:space="preserve">flexibility in terms of </w:t>
      </w:r>
      <w:r w:rsidR="00C079BA">
        <w:rPr>
          <w:sz w:val="24"/>
          <w:szCs w:val="24"/>
          <w:lang w:val="en-GB"/>
        </w:rPr>
        <w:t>sensitivity to</w:t>
      </w:r>
      <w:r w:rsidR="00AB5BE8">
        <w:rPr>
          <w:sz w:val="24"/>
          <w:szCs w:val="24"/>
          <w:lang w:val="en-GB"/>
        </w:rPr>
        <w:t xml:space="preserve"> different parts of the distribution </w:t>
      </w:r>
      <w:r w:rsidR="00C079BA">
        <w:rPr>
          <w:sz w:val="24"/>
          <w:szCs w:val="24"/>
          <w:lang w:val="en-GB"/>
        </w:rPr>
        <w:t>specified with</w:t>
      </w:r>
      <w:r w:rsidR="00AB5BE8">
        <w:rPr>
          <w:sz w:val="24"/>
          <w:szCs w:val="24"/>
          <w:lang w:val="en-GB"/>
        </w:rPr>
        <w:t xml:space="preserve"> the parameter </w:t>
      </w:r>
      <w:r w:rsidR="002758D6" w:rsidRPr="001505F1">
        <w:rPr>
          <w:i/>
          <w:sz w:val="24"/>
          <w:szCs w:val="24"/>
          <w:lang w:val="en-GB"/>
        </w:rPr>
        <w:t>ε</w:t>
      </w:r>
      <w:r w:rsidR="00AB5BE8">
        <w:rPr>
          <w:sz w:val="24"/>
          <w:szCs w:val="24"/>
          <w:lang w:val="en-GB"/>
        </w:rPr>
        <w:t>.</w:t>
      </w:r>
      <w:r w:rsidR="002758D6">
        <w:rPr>
          <w:sz w:val="24"/>
          <w:szCs w:val="24"/>
          <w:lang w:val="en-GB"/>
        </w:rPr>
        <w:t xml:space="preserve"> </w:t>
      </w:r>
      <w:r w:rsidR="00AB5BE8">
        <w:rPr>
          <w:sz w:val="24"/>
          <w:szCs w:val="24"/>
          <w:lang w:val="en-GB"/>
        </w:rPr>
        <w:t xml:space="preserve">Briefly, </w:t>
      </w:r>
      <w:r w:rsidR="00AB5BE8" w:rsidRPr="001505F1">
        <w:rPr>
          <w:i/>
          <w:sz w:val="24"/>
          <w:szCs w:val="24"/>
          <w:lang w:val="en-GB"/>
        </w:rPr>
        <w:t>ε</w:t>
      </w:r>
      <w:r w:rsidR="00AB5BE8">
        <w:rPr>
          <w:sz w:val="24"/>
          <w:szCs w:val="24"/>
          <w:lang w:val="en-GB"/>
        </w:rPr>
        <w:t xml:space="preserve"> </w:t>
      </w:r>
      <w:r w:rsidR="002758D6">
        <w:rPr>
          <w:sz w:val="24"/>
          <w:szCs w:val="24"/>
          <w:lang w:val="en-GB"/>
        </w:rPr>
        <w:t>represents the</w:t>
      </w:r>
      <w:r w:rsidR="002758D6" w:rsidRPr="002758D6">
        <w:rPr>
          <w:sz w:val="24"/>
          <w:szCs w:val="24"/>
          <w:lang w:val="en-GB"/>
        </w:rPr>
        <w:t xml:space="preserve"> degree of inequality aversion</w:t>
      </w:r>
      <w:r w:rsidR="00AB5BE8">
        <w:rPr>
          <w:sz w:val="24"/>
          <w:szCs w:val="24"/>
          <w:lang w:val="en-GB"/>
        </w:rPr>
        <w:t>,</w:t>
      </w:r>
      <w:r w:rsidR="002758D6">
        <w:rPr>
          <w:sz w:val="24"/>
          <w:szCs w:val="24"/>
          <w:lang w:val="en-GB"/>
        </w:rPr>
        <w:t xml:space="preserve"> where larger values </w:t>
      </w:r>
      <w:r w:rsidR="00AB5BE8">
        <w:rPr>
          <w:sz w:val="24"/>
          <w:szCs w:val="24"/>
          <w:lang w:val="en-GB"/>
        </w:rPr>
        <w:t>imply</w:t>
      </w:r>
      <w:r w:rsidR="002758D6">
        <w:rPr>
          <w:sz w:val="24"/>
          <w:szCs w:val="24"/>
          <w:lang w:val="en-GB"/>
        </w:rPr>
        <w:t xml:space="preserve"> </w:t>
      </w:r>
      <w:r w:rsidR="00AB5BE8">
        <w:rPr>
          <w:sz w:val="24"/>
          <w:szCs w:val="24"/>
          <w:lang w:val="en-GB"/>
        </w:rPr>
        <w:t>more sensitivity</w:t>
      </w:r>
      <w:r w:rsidR="002758D6" w:rsidRPr="002758D6">
        <w:rPr>
          <w:sz w:val="24"/>
          <w:szCs w:val="24"/>
          <w:lang w:val="en-GB"/>
        </w:rPr>
        <w:t xml:space="preserve"> to income differences at</w:t>
      </w:r>
      <w:r w:rsidR="00AB5BE8">
        <w:rPr>
          <w:sz w:val="24"/>
          <w:szCs w:val="24"/>
          <w:lang w:val="en-GB"/>
        </w:rPr>
        <w:t xml:space="preserve"> the</w:t>
      </w:r>
      <w:r w:rsidR="002758D6" w:rsidRPr="002758D6">
        <w:rPr>
          <w:sz w:val="24"/>
          <w:szCs w:val="24"/>
          <w:lang w:val="en-GB"/>
        </w:rPr>
        <w:t xml:space="preserve"> bottom of </w:t>
      </w:r>
      <w:r w:rsidR="00AB5BE8">
        <w:rPr>
          <w:sz w:val="24"/>
          <w:szCs w:val="24"/>
          <w:lang w:val="en-GB"/>
        </w:rPr>
        <w:t xml:space="preserve">the </w:t>
      </w:r>
      <w:r w:rsidR="002758D6" w:rsidRPr="002758D6">
        <w:rPr>
          <w:sz w:val="24"/>
          <w:szCs w:val="24"/>
          <w:lang w:val="en-GB"/>
        </w:rPr>
        <w:t>income distribution</w:t>
      </w:r>
      <w:r>
        <w:rPr>
          <w:sz w:val="24"/>
          <w:szCs w:val="24"/>
          <w:lang w:val="en-GB"/>
        </w:rPr>
        <w:t xml:space="preserve"> (see Jenkins and Van Kerm</w:t>
      </w:r>
      <w:r w:rsidR="009B25C0">
        <w:rPr>
          <w:sz w:val="24"/>
          <w:szCs w:val="24"/>
          <w:lang w:val="en-GB"/>
        </w:rPr>
        <w:t>,</w:t>
      </w:r>
      <w:r>
        <w:rPr>
          <w:sz w:val="24"/>
          <w:szCs w:val="24"/>
          <w:lang w:val="en-GB"/>
        </w:rPr>
        <w:t xml:space="preserve"> 2008</w:t>
      </w:r>
      <w:r w:rsidR="009B25C0">
        <w:rPr>
          <w:sz w:val="24"/>
          <w:szCs w:val="24"/>
          <w:lang w:val="en-GB"/>
        </w:rPr>
        <w:t>,</w:t>
      </w:r>
      <w:r>
        <w:rPr>
          <w:sz w:val="24"/>
          <w:szCs w:val="24"/>
          <w:lang w:val="en-GB"/>
        </w:rPr>
        <w:t xml:space="preserve"> for a more detailed discussion of the properties of inequality measures)</w:t>
      </w:r>
      <w:r w:rsidR="00AB5BE8">
        <w:rPr>
          <w:sz w:val="24"/>
          <w:szCs w:val="24"/>
          <w:lang w:val="en-GB"/>
        </w:rPr>
        <w:t>.</w:t>
      </w:r>
      <w:r w:rsidR="00C079BA">
        <w:rPr>
          <w:sz w:val="24"/>
          <w:szCs w:val="24"/>
          <w:lang w:val="en-GB"/>
        </w:rPr>
        <w:t xml:space="preserve"> We calculate the Atkinson indices with </w:t>
      </w:r>
      <w:r w:rsidR="00C079BA" w:rsidRPr="002758D6">
        <w:rPr>
          <w:sz w:val="24"/>
          <w:szCs w:val="24"/>
          <w:lang w:val="en-GB"/>
        </w:rPr>
        <w:t>ε</w:t>
      </w:r>
      <w:r w:rsidR="00C079BA">
        <w:rPr>
          <w:sz w:val="24"/>
          <w:szCs w:val="24"/>
          <w:lang w:val="en-GB"/>
        </w:rPr>
        <w:t xml:space="preserve">=.5, </w:t>
      </w:r>
      <w:r w:rsidR="00C079BA" w:rsidRPr="002758D6">
        <w:rPr>
          <w:sz w:val="24"/>
          <w:szCs w:val="24"/>
          <w:lang w:val="en-GB"/>
        </w:rPr>
        <w:t>ε</w:t>
      </w:r>
      <w:r w:rsidR="00C079BA">
        <w:rPr>
          <w:sz w:val="24"/>
          <w:szCs w:val="24"/>
          <w:lang w:val="en-GB"/>
        </w:rPr>
        <w:t xml:space="preserve">=1 and </w:t>
      </w:r>
      <w:r w:rsidR="00C079BA" w:rsidRPr="002758D6">
        <w:rPr>
          <w:sz w:val="24"/>
          <w:szCs w:val="24"/>
          <w:lang w:val="en-GB"/>
        </w:rPr>
        <w:t>ε</w:t>
      </w:r>
      <w:r w:rsidR="00C079BA">
        <w:rPr>
          <w:sz w:val="24"/>
          <w:szCs w:val="24"/>
          <w:lang w:val="en-GB"/>
        </w:rPr>
        <w:t xml:space="preserve">=2 respectively. </w:t>
      </w:r>
    </w:p>
    <w:p w14:paraId="7A66E993" w14:textId="73E08D88" w:rsidR="00B666D2" w:rsidRPr="009A1147" w:rsidRDefault="00FA424D" w:rsidP="003109B9">
      <w:pPr>
        <w:spacing w:before="240" w:after="120" w:line="480" w:lineRule="auto"/>
        <w:jc w:val="both"/>
        <w:rPr>
          <w:sz w:val="24"/>
          <w:szCs w:val="24"/>
          <w:lang w:val="en-GB"/>
        </w:rPr>
      </w:pPr>
      <w:r>
        <w:rPr>
          <w:sz w:val="24"/>
          <w:szCs w:val="24"/>
          <w:lang w:val="en-GB"/>
        </w:rPr>
        <w:lastRenderedPageBreak/>
        <w:t xml:space="preserve">For the central part of our analysis, we use the isograph, which has important advantages when analysing income and wealth. </w:t>
      </w:r>
      <w:r w:rsidR="00740496">
        <w:rPr>
          <w:sz w:val="24"/>
          <w:szCs w:val="24"/>
          <w:lang w:val="en-GB"/>
        </w:rPr>
        <w:t xml:space="preserve">Due to the power tail characteristics of </w:t>
      </w:r>
      <w:r>
        <w:rPr>
          <w:sz w:val="24"/>
          <w:szCs w:val="24"/>
          <w:lang w:val="en-GB"/>
        </w:rPr>
        <w:t>both</w:t>
      </w:r>
      <w:r w:rsidR="00740496">
        <w:rPr>
          <w:sz w:val="24"/>
          <w:szCs w:val="24"/>
          <w:lang w:val="en-GB"/>
        </w:rPr>
        <w:t xml:space="preserve"> distributions, </w:t>
      </w:r>
      <w:r w:rsidR="00A357B3">
        <w:rPr>
          <w:sz w:val="24"/>
          <w:szCs w:val="24"/>
          <w:lang w:val="en-GB"/>
        </w:rPr>
        <w:t>a small fraction of the populations can control a considerable share of the resources. This extremely skewed structure of distribution has been first statistically descri</w:t>
      </w:r>
      <w:r w:rsidR="00C079BA">
        <w:rPr>
          <w:sz w:val="24"/>
          <w:szCs w:val="24"/>
          <w:lang w:val="en-GB"/>
        </w:rPr>
        <w:t>b</w:t>
      </w:r>
      <w:r w:rsidR="00A357B3">
        <w:rPr>
          <w:sz w:val="24"/>
          <w:szCs w:val="24"/>
          <w:lang w:val="en-GB"/>
        </w:rPr>
        <w:t xml:space="preserve">ed by Pareto </w:t>
      </w:r>
      <w:r w:rsidR="008938BD">
        <w:rPr>
          <w:sz w:val="24"/>
          <w:szCs w:val="24"/>
          <w:lang w:val="en-GB"/>
        </w:rPr>
        <w:t xml:space="preserve">density curves </w:t>
      </w:r>
      <w:r w:rsidR="00666A7D" w:rsidRPr="00AC33A5">
        <w:rPr>
          <w:sz w:val="24"/>
          <w:lang w:val="en-US"/>
        </w:rPr>
        <w:t>(Pareto, 1897</w:t>
      </w:r>
      <w:r w:rsidR="00666A7D">
        <w:rPr>
          <w:sz w:val="24"/>
          <w:szCs w:val="24"/>
          <w:lang w:val="en-GB"/>
        </w:rPr>
        <w:t>, p. 305-24</w:t>
      </w:r>
      <w:r w:rsidR="00666A7D" w:rsidRPr="00AC33A5">
        <w:rPr>
          <w:sz w:val="24"/>
          <w:lang w:val="en-US"/>
        </w:rPr>
        <w:t>; Pareto, 1896</w:t>
      </w:r>
      <w:r w:rsidR="00666A7D">
        <w:rPr>
          <w:sz w:val="24"/>
          <w:szCs w:val="24"/>
          <w:lang w:val="en-GB"/>
        </w:rPr>
        <w:t>, p. 99</w:t>
      </w:r>
      <w:r w:rsidR="00666A7D" w:rsidRPr="00AC33A5">
        <w:rPr>
          <w:sz w:val="24"/>
          <w:lang w:val="en-US"/>
        </w:rPr>
        <w:t>)</w:t>
      </w:r>
      <w:r w:rsidR="008938BD">
        <w:rPr>
          <w:sz w:val="24"/>
          <w:lang w:val="en-US"/>
        </w:rPr>
        <w:t>,</w:t>
      </w:r>
      <w:r w:rsidR="00A357B3">
        <w:rPr>
          <w:sz w:val="24"/>
          <w:szCs w:val="24"/>
          <w:lang w:val="en-GB"/>
        </w:rPr>
        <w:t xml:space="preserve"> where, if p is the proportion of individuals below income </w:t>
      </w:r>
      <w:r w:rsidR="008938BD" w:rsidRPr="001505F1">
        <w:rPr>
          <w:i/>
          <w:sz w:val="24"/>
          <w:szCs w:val="24"/>
          <w:lang w:val="en-GB"/>
        </w:rPr>
        <w:t>I</w:t>
      </w:r>
      <w:r w:rsidR="00A357B3">
        <w:rPr>
          <w:sz w:val="24"/>
          <w:szCs w:val="24"/>
          <w:lang w:val="en-GB"/>
        </w:rPr>
        <w:t xml:space="preserve"> (or wealth </w:t>
      </w:r>
      <w:r w:rsidR="008938BD" w:rsidRPr="001505F1">
        <w:rPr>
          <w:i/>
          <w:sz w:val="24"/>
          <w:szCs w:val="24"/>
          <w:lang w:val="en-GB"/>
        </w:rPr>
        <w:t>W</w:t>
      </w:r>
      <w:r w:rsidR="00A357B3">
        <w:rPr>
          <w:sz w:val="24"/>
          <w:szCs w:val="24"/>
          <w:lang w:val="en-GB"/>
        </w:rPr>
        <w:t>), we have ln(</w:t>
      </w:r>
      <w:r w:rsidR="008938BD" w:rsidRPr="001505F1">
        <w:rPr>
          <w:i/>
          <w:sz w:val="24"/>
          <w:szCs w:val="24"/>
          <w:lang w:val="en-GB"/>
        </w:rPr>
        <w:t>I</w:t>
      </w:r>
      <w:r w:rsidR="00A357B3">
        <w:rPr>
          <w:sz w:val="24"/>
          <w:szCs w:val="24"/>
          <w:lang w:val="en-GB"/>
        </w:rPr>
        <w:t xml:space="preserve">)= </w:t>
      </w:r>
      <w:r w:rsidR="00D76B7C">
        <w:rPr>
          <w:sz w:val="24"/>
          <w:szCs w:val="24"/>
          <w:lang w:val="en-GB"/>
        </w:rPr>
        <w:t>-</w:t>
      </w:r>
      <w:r w:rsidR="00874B2D">
        <w:rPr>
          <w:sz w:val="24"/>
          <w:szCs w:val="24"/>
          <w:lang w:val="en-GB"/>
        </w:rPr>
        <w:t>α</w:t>
      </w:r>
      <w:r w:rsidR="00C079BA">
        <w:rPr>
          <w:sz w:val="24"/>
          <w:szCs w:val="24"/>
          <w:lang w:val="en-GB"/>
        </w:rPr>
        <w:t xml:space="preserve"> </w:t>
      </w:r>
      <w:r w:rsidR="00A357B3">
        <w:rPr>
          <w:sz w:val="24"/>
          <w:szCs w:val="24"/>
          <w:lang w:val="en-GB"/>
        </w:rPr>
        <w:t>ln(</w:t>
      </w:r>
      <w:r w:rsidR="00D76B7C">
        <w:rPr>
          <w:sz w:val="24"/>
          <w:szCs w:val="24"/>
          <w:lang w:val="en-GB"/>
        </w:rPr>
        <w:t>1-</w:t>
      </w:r>
      <w:r w:rsidR="00A357B3">
        <w:rPr>
          <w:sz w:val="24"/>
          <w:szCs w:val="24"/>
          <w:lang w:val="en-GB"/>
        </w:rPr>
        <w:t>p)</w:t>
      </w:r>
      <w:r w:rsidR="00D76B7C">
        <w:rPr>
          <w:sz w:val="24"/>
          <w:szCs w:val="24"/>
          <w:lang w:val="en-GB"/>
        </w:rPr>
        <w:t xml:space="preserve"> + cst</w:t>
      </w:r>
      <w:r w:rsidR="00A357B3">
        <w:rPr>
          <w:sz w:val="24"/>
          <w:szCs w:val="24"/>
          <w:lang w:val="en-GB"/>
        </w:rPr>
        <w:t xml:space="preserve"> </w:t>
      </w:r>
      <w:r w:rsidR="006023CF">
        <w:rPr>
          <w:sz w:val="24"/>
          <w:szCs w:val="24"/>
          <w:lang w:val="en-GB"/>
        </w:rPr>
        <w:t xml:space="preserve">where </w:t>
      </w:r>
      <w:r w:rsidR="00874B2D">
        <w:rPr>
          <w:sz w:val="24"/>
          <w:szCs w:val="24"/>
          <w:lang w:val="en-GB"/>
        </w:rPr>
        <w:t>α</w:t>
      </w:r>
      <w:r w:rsidR="00AC33A5">
        <w:rPr>
          <w:sz w:val="24"/>
          <w:szCs w:val="24"/>
          <w:lang w:val="en-GB"/>
        </w:rPr>
        <w:t xml:space="preserve"> </w:t>
      </w:r>
      <w:r w:rsidR="006023CF">
        <w:rPr>
          <w:sz w:val="24"/>
          <w:szCs w:val="24"/>
          <w:lang w:val="en-GB"/>
        </w:rPr>
        <w:t>is a constant between 0 and 1.</w:t>
      </w:r>
      <w:r w:rsidR="00D76B7C">
        <w:rPr>
          <w:sz w:val="24"/>
          <w:szCs w:val="24"/>
          <w:lang w:val="en-GB"/>
        </w:rPr>
        <w:t xml:space="preserve"> When </w:t>
      </w:r>
      <w:r w:rsidR="00D76B7C" w:rsidRPr="00DD0D8A">
        <w:rPr>
          <w:i/>
          <w:sz w:val="24"/>
          <w:szCs w:val="24"/>
          <w:lang w:val="en-GB"/>
        </w:rPr>
        <w:t>p</w:t>
      </w:r>
      <w:r w:rsidR="00D76B7C">
        <w:rPr>
          <w:sz w:val="24"/>
          <w:szCs w:val="24"/>
          <w:lang w:val="en-GB"/>
        </w:rPr>
        <w:t xml:space="preserve"> converges to 1, </w:t>
      </w:r>
      <w:r w:rsidR="00A8042F">
        <w:rPr>
          <w:i/>
          <w:sz w:val="24"/>
          <w:szCs w:val="24"/>
          <w:lang w:val="en-GB"/>
        </w:rPr>
        <w:t>I</w:t>
      </w:r>
      <w:r w:rsidR="00D76B7C">
        <w:rPr>
          <w:sz w:val="24"/>
          <w:szCs w:val="24"/>
          <w:lang w:val="en-GB"/>
        </w:rPr>
        <w:t xml:space="preserve"> increases </w:t>
      </w:r>
      <w:r w:rsidR="009A415F">
        <w:rPr>
          <w:sz w:val="24"/>
          <w:szCs w:val="24"/>
          <w:lang w:val="en-GB"/>
        </w:rPr>
        <w:t>following</w:t>
      </w:r>
      <w:r w:rsidR="00D76B7C">
        <w:rPr>
          <w:sz w:val="24"/>
          <w:szCs w:val="24"/>
          <w:lang w:val="en-GB"/>
        </w:rPr>
        <w:t xml:space="preserve"> a power tail: the power of i</w:t>
      </w:r>
      <w:r w:rsidR="009A415F">
        <w:rPr>
          <w:sz w:val="24"/>
          <w:szCs w:val="24"/>
          <w:lang w:val="en-GB"/>
        </w:rPr>
        <w:t xml:space="preserve">ncome </w:t>
      </w:r>
      <w:r w:rsidR="00A8042F">
        <w:rPr>
          <w:i/>
          <w:sz w:val="24"/>
          <w:szCs w:val="24"/>
          <w:lang w:val="en-GB"/>
        </w:rPr>
        <w:t>I</w:t>
      </w:r>
      <w:r w:rsidR="00D76B7C">
        <w:rPr>
          <w:sz w:val="24"/>
          <w:szCs w:val="24"/>
          <w:lang w:val="en-GB"/>
        </w:rPr>
        <w:t xml:space="preserve"> is a linear function of the logarithm of the small proportion </w:t>
      </w:r>
      <w:r w:rsidR="00D76B7C" w:rsidRPr="00DD0D8A">
        <w:rPr>
          <w:i/>
          <w:sz w:val="24"/>
          <w:szCs w:val="24"/>
          <w:lang w:val="en-GB"/>
        </w:rPr>
        <w:t>q=p-1</w:t>
      </w:r>
      <w:r w:rsidR="00D76B7C">
        <w:rPr>
          <w:sz w:val="24"/>
          <w:szCs w:val="24"/>
          <w:lang w:val="en-GB"/>
        </w:rPr>
        <w:t xml:space="preserve"> of individuals with income above </w:t>
      </w:r>
      <w:r w:rsidR="00A8042F">
        <w:rPr>
          <w:i/>
          <w:sz w:val="24"/>
          <w:szCs w:val="24"/>
          <w:lang w:val="en-GB"/>
        </w:rPr>
        <w:t>I</w:t>
      </w:r>
      <w:r w:rsidR="00D76B7C">
        <w:rPr>
          <w:sz w:val="24"/>
          <w:szCs w:val="24"/>
          <w:lang w:val="en-GB"/>
        </w:rPr>
        <w:t xml:space="preserve">. </w:t>
      </w:r>
      <w:r w:rsidR="009A415F">
        <w:rPr>
          <w:sz w:val="24"/>
          <w:szCs w:val="24"/>
          <w:lang w:val="en-GB"/>
        </w:rPr>
        <w:t xml:space="preserve">If the richer population </w:t>
      </w:r>
      <w:r w:rsidR="009A415F" w:rsidRPr="00DD0D8A">
        <w:rPr>
          <w:i/>
          <w:sz w:val="24"/>
          <w:szCs w:val="24"/>
          <w:lang w:val="en-GB"/>
        </w:rPr>
        <w:t>q</w:t>
      </w:r>
      <w:r w:rsidR="00243A0B">
        <w:rPr>
          <w:sz w:val="24"/>
          <w:szCs w:val="24"/>
          <w:lang w:val="en-GB"/>
        </w:rPr>
        <w:t>’</w:t>
      </w:r>
      <w:r w:rsidR="009A415F">
        <w:rPr>
          <w:sz w:val="24"/>
          <w:szCs w:val="24"/>
          <w:lang w:val="en-GB"/>
        </w:rPr>
        <w:t xml:space="preserve"> above </w:t>
      </w:r>
      <w:r w:rsidR="00A8042F">
        <w:rPr>
          <w:i/>
          <w:sz w:val="24"/>
          <w:szCs w:val="24"/>
          <w:lang w:val="en-GB"/>
        </w:rPr>
        <w:t>I</w:t>
      </w:r>
      <w:r w:rsidR="009A415F">
        <w:rPr>
          <w:sz w:val="24"/>
          <w:szCs w:val="24"/>
          <w:lang w:val="en-GB"/>
        </w:rPr>
        <w:t xml:space="preserve"> is ten times smaller</w:t>
      </w:r>
      <w:r w:rsidR="00243A0B">
        <w:rPr>
          <w:sz w:val="24"/>
          <w:szCs w:val="24"/>
          <w:lang w:val="en-GB"/>
        </w:rPr>
        <w:t xml:space="preserve"> than </w:t>
      </w:r>
      <w:r w:rsidR="00243A0B" w:rsidRPr="00DD0D8A">
        <w:rPr>
          <w:i/>
          <w:sz w:val="24"/>
          <w:szCs w:val="24"/>
          <w:lang w:val="en-GB"/>
        </w:rPr>
        <w:t>q</w:t>
      </w:r>
      <w:r w:rsidR="009A415F">
        <w:rPr>
          <w:sz w:val="24"/>
          <w:szCs w:val="24"/>
          <w:lang w:val="en-GB"/>
        </w:rPr>
        <w:t xml:space="preserve">, </w:t>
      </w:r>
      <w:r w:rsidR="00243A0B">
        <w:rPr>
          <w:sz w:val="24"/>
          <w:szCs w:val="24"/>
          <w:lang w:val="en-GB"/>
        </w:rPr>
        <w:t xml:space="preserve">they are above income </w:t>
      </w:r>
      <w:r w:rsidR="00A8042F">
        <w:rPr>
          <w:i/>
          <w:sz w:val="24"/>
          <w:szCs w:val="24"/>
          <w:lang w:val="en-GB"/>
        </w:rPr>
        <w:t>I</w:t>
      </w:r>
      <w:r w:rsidR="00243A0B" w:rsidRPr="00DD0D8A">
        <w:rPr>
          <w:i/>
          <w:sz w:val="24"/>
          <w:szCs w:val="24"/>
          <w:lang w:val="en-GB"/>
        </w:rPr>
        <w:t xml:space="preserve">' = </w:t>
      </w:r>
      <w:r w:rsidR="009A415F" w:rsidRPr="00DD0D8A">
        <w:rPr>
          <w:i/>
          <w:sz w:val="24"/>
          <w:szCs w:val="24"/>
          <w:lang w:val="en-GB"/>
        </w:rPr>
        <w:t>(10</w:t>
      </w:r>
      <w:r w:rsidR="00874B2D" w:rsidRPr="00DD0D8A">
        <w:rPr>
          <w:i/>
          <w:sz w:val="24"/>
          <w:szCs w:val="24"/>
          <w:vertAlign w:val="superscript"/>
          <w:lang w:val="en-GB"/>
        </w:rPr>
        <w:t>α</w:t>
      </w:r>
      <w:r w:rsidR="009A415F" w:rsidRPr="00DD0D8A">
        <w:rPr>
          <w:i/>
          <w:sz w:val="24"/>
          <w:szCs w:val="24"/>
          <w:lang w:val="en-GB"/>
        </w:rPr>
        <w:t>)</w:t>
      </w:r>
      <w:r w:rsidR="00243A0B" w:rsidRPr="00DD0D8A">
        <w:rPr>
          <w:i/>
          <w:sz w:val="24"/>
          <w:szCs w:val="24"/>
          <w:lang w:val="en-GB"/>
        </w:rPr>
        <w:t xml:space="preserve"> </w:t>
      </w:r>
      <w:r w:rsidR="00A8042F">
        <w:rPr>
          <w:i/>
          <w:sz w:val="24"/>
          <w:szCs w:val="24"/>
          <w:lang w:val="en-GB"/>
        </w:rPr>
        <w:t>I</w:t>
      </w:r>
      <w:r w:rsidR="00243A0B">
        <w:rPr>
          <w:sz w:val="24"/>
          <w:szCs w:val="24"/>
          <w:lang w:val="en-GB"/>
        </w:rPr>
        <w:t xml:space="preserve"> </w:t>
      </w:r>
      <w:r w:rsidR="009A415F">
        <w:rPr>
          <w:sz w:val="24"/>
          <w:szCs w:val="24"/>
          <w:lang w:val="en-GB"/>
        </w:rPr>
        <w:t xml:space="preserve">. </w:t>
      </w:r>
      <w:r w:rsidR="00AC33A5">
        <w:rPr>
          <w:sz w:val="24"/>
          <w:szCs w:val="24"/>
          <w:lang w:val="en-GB"/>
        </w:rPr>
        <w:t xml:space="preserve">The accuracy of this formulation has been confirmed for the analysis of the general shape of the upper power tail </w:t>
      </w:r>
      <w:r w:rsidR="00243A0B">
        <w:rPr>
          <w:sz w:val="24"/>
          <w:szCs w:val="24"/>
          <w:lang w:val="en-GB"/>
        </w:rPr>
        <w:t xml:space="preserve">in the size of cities, companies, financial markets, income, wealth, amongst other variables </w:t>
      </w:r>
      <w:r w:rsidR="00E17890" w:rsidRPr="00AF0CE3">
        <w:rPr>
          <w:sz w:val="24"/>
          <w:lang w:val="en-US"/>
        </w:rPr>
        <w:t>(Gabaix, 1999, 2009</w:t>
      </w:r>
      <w:r w:rsidR="00243A0B">
        <w:rPr>
          <w:sz w:val="24"/>
          <w:lang w:val="en-US"/>
        </w:rPr>
        <w:t>; Chauvel 2016</w:t>
      </w:r>
      <w:r w:rsidR="00E17890" w:rsidRPr="00AF0CE3">
        <w:rPr>
          <w:sz w:val="24"/>
          <w:lang w:val="en-US"/>
        </w:rPr>
        <w:t>)</w:t>
      </w:r>
      <w:r w:rsidR="00AC33A5">
        <w:rPr>
          <w:sz w:val="24"/>
          <w:szCs w:val="24"/>
          <w:lang w:val="en-GB"/>
        </w:rPr>
        <w:t xml:space="preserve">, but </w:t>
      </w:r>
      <w:r w:rsidR="00243A0B">
        <w:rPr>
          <w:sz w:val="24"/>
          <w:szCs w:val="24"/>
          <w:lang w:val="en-GB"/>
        </w:rPr>
        <w:t>the Pareto laws often fail to represent the rest of the distribution</w:t>
      </w:r>
      <w:r w:rsidR="00AC33A5">
        <w:rPr>
          <w:sz w:val="24"/>
          <w:szCs w:val="24"/>
          <w:lang w:val="en-GB"/>
        </w:rPr>
        <w:t xml:space="preserve">. </w:t>
      </w:r>
      <w:r w:rsidR="002A2F85">
        <w:rPr>
          <w:sz w:val="24"/>
          <w:szCs w:val="24"/>
          <w:lang w:val="en-GB"/>
        </w:rPr>
        <w:t xml:space="preserve">A </w:t>
      </w:r>
      <w:r w:rsidR="00AC33A5">
        <w:rPr>
          <w:sz w:val="24"/>
          <w:szCs w:val="24"/>
          <w:lang w:val="en-GB"/>
        </w:rPr>
        <w:t xml:space="preserve">more general </w:t>
      </w:r>
      <w:r w:rsidR="002A2F85">
        <w:rPr>
          <w:sz w:val="24"/>
          <w:szCs w:val="24"/>
          <w:lang w:val="en-GB"/>
        </w:rPr>
        <w:t>problem in empirical case</w:t>
      </w:r>
      <w:r w:rsidR="002F44DA">
        <w:rPr>
          <w:sz w:val="24"/>
          <w:szCs w:val="24"/>
          <w:lang w:val="en-GB"/>
        </w:rPr>
        <w:t>s</w:t>
      </w:r>
      <w:r w:rsidR="002A2F85">
        <w:rPr>
          <w:sz w:val="24"/>
          <w:szCs w:val="24"/>
          <w:lang w:val="en-GB"/>
        </w:rPr>
        <w:t xml:space="preserve"> is that </w:t>
      </w:r>
      <w:r w:rsidR="00243A0B">
        <w:rPr>
          <w:sz w:val="24"/>
          <w:szCs w:val="24"/>
          <w:lang w:val="en-GB"/>
        </w:rPr>
        <w:t xml:space="preserve">even in the tail </w:t>
      </w:r>
      <w:r w:rsidR="00874B2D" w:rsidRPr="00DD0D8A">
        <w:rPr>
          <w:i/>
          <w:sz w:val="24"/>
          <w:szCs w:val="24"/>
          <w:lang w:val="en-GB"/>
        </w:rPr>
        <w:t>α</w:t>
      </w:r>
      <w:r w:rsidR="00AC33A5">
        <w:rPr>
          <w:sz w:val="24"/>
          <w:szCs w:val="24"/>
          <w:lang w:val="en-GB"/>
        </w:rPr>
        <w:t xml:space="preserve"> </w:t>
      </w:r>
      <w:r w:rsidR="002A2F85">
        <w:rPr>
          <w:sz w:val="24"/>
          <w:szCs w:val="24"/>
          <w:lang w:val="en-GB"/>
        </w:rPr>
        <w:t xml:space="preserve">is </w:t>
      </w:r>
      <w:r w:rsidR="00AC33A5">
        <w:rPr>
          <w:sz w:val="24"/>
          <w:szCs w:val="24"/>
          <w:lang w:val="en-GB"/>
        </w:rPr>
        <w:t xml:space="preserve">generally </w:t>
      </w:r>
      <w:r w:rsidR="002A2F85">
        <w:rPr>
          <w:sz w:val="24"/>
          <w:szCs w:val="24"/>
          <w:lang w:val="en-GB"/>
        </w:rPr>
        <w:t xml:space="preserve">close but </w:t>
      </w:r>
      <w:r w:rsidR="00AC33A5">
        <w:rPr>
          <w:sz w:val="24"/>
          <w:szCs w:val="24"/>
          <w:lang w:val="en-GB"/>
        </w:rPr>
        <w:t xml:space="preserve">often </w:t>
      </w:r>
      <w:r w:rsidR="002A2F85">
        <w:rPr>
          <w:sz w:val="24"/>
          <w:szCs w:val="24"/>
          <w:lang w:val="en-GB"/>
        </w:rPr>
        <w:t>significantly different to a constant</w:t>
      </w:r>
      <w:r w:rsidR="00AC33A5">
        <w:rPr>
          <w:sz w:val="24"/>
          <w:szCs w:val="24"/>
          <w:lang w:val="en-GB"/>
        </w:rPr>
        <w:t>, and the residual could contain important information, neglected by conventional tools</w:t>
      </w:r>
      <w:r w:rsidR="002A2F85">
        <w:rPr>
          <w:sz w:val="24"/>
          <w:szCs w:val="24"/>
          <w:lang w:val="en-GB"/>
        </w:rPr>
        <w:t xml:space="preserve">. </w:t>
      </w:r>
      <w:r w:rsidR="002F44DA">
        <w:rPr>
          <w:sz w:val="24"/>
          <w:szCs w:val="24"/>
          <w:lang w:val="en-GB"/>
        </w:rPr>
        <w:t>Thus, the shape of the distribution can change substantially over the income (or wealth) distribution.</w:t>
      </w:r>
      <w:r w:rsidR="00AC33A5">
        <w:rPr>
          <w:sz w:val="24"/>
          <w:szCs w:val="24"/>
          <w:lang w:val="en-GB"/>
        </w:rPr>
        <w:t xml:space="preserve"> </w:t>
      </w:r>
      <w:r w:rsidR="004E6805">
        <w:rPr>
          <w:sz w:val="24"/>
          <w:szCs w:val="24"/>
          <w:lang w:val="en-GB"/>
        </w:rPr>
        <w:t>E</w:t>
      </w:r>
      <w:r w:rsidR="009A415F">
        <w:rPr>
          <w:sz w:val="24"/>
          <w:szCs w:val="24"/>
          <w:lang w:val="en-GB"/>
        </w:rPr>
        <w:t>arlier paper</w:t>
      </w:r>
      <w:r w:rsidR="00874B2D">
        <w:rPr>
          <w:sz w:val="24"/>
          <w:szCs w:val="24"/>
          <w:lang w:val="en-GB"/>
        </w:rPr>
        <w:t>s</w:t>
      </w:r>
      <w:r w:rsidR="009A415F">
        <w:rPr>
          <w:sz w:val="24"/>
          <w:szCs w:val="24"/>
          <w:lang w:val="en-GB"/>
        </w:rPr>
        <w:t xml:space="preserve"> </w:t>
      </w:r>
      <w:r w:rsidR="004E6805">
        <w:rPr>
          <w:sz w:val="24"/>
          <w:lang w:val="en-US"/>
        </w:rPr>
        <w:t>confirmed that</w:t>
      </w:r>
      <w:r w:rsidR="002F44DA">
        <w:rPr>
          <w:sz w:val="24"/>
          <w:szCs w:val="24"/>
          <w:lang w:val="en-GB"/>
        </w:rPr>
        <w:t xml:space="preserve"> </w:t>
      </w:r>
      <w:r w:rsidR="004E6805">
        <w:rPr>
          <w:sz w:val="24"/>
          <w:szCs w:val="24"/>
          <w:lang w:val="en-GB"/>
        </w:rPr>
        <w:t>t</w:t>
      </w:r>
      <w:r w:rsidR="00B666D2" w:rsidRPr="00AF0CE3">
        <w:rPr>
          <w:sz w:val="24"/>
          <w:szCs w:val="24"/>
          <w:lang w:val="en-GB"/>
        </w:rPr>
        <w:t xml:space="preserve">he </w:t>
      </w:r>
      <w:r w:rsidR="004E6805">
        <w:rPr>
          <w:sz w:val="24"/>
          <w:szCs w:val="24"/>
          <w:lang w:val="en-GB"/>
        </w:rPr>
        <w:t>i</w:t>
      </w:r>
      <w:r w:rsidR="00B666D2" w:rsidRPr="00AF0CE3">
        <w:rPr>
          <w:sz w:val="24"/>
          <w:szCs w:val="24"/>
          <w:lang w:val="en-GB"/>
        </w:rPr>
        <w:t>sograph</w:t>
      </w:r>
      <w:r w:rsidR="002F44DA" w:rsidRPr="00AF0CE3">
        <w:rPr>
          <w:sz w:val="24"/>
          <w:szCs w:val="24"/>
          <w:lang w:val="en-GB"/>
        </w:rPr>
        <w:t xml:space="preserve"> </w:t>
      </w:r>
      <w:r w:rsidR="004E6805">
        <w:rPr>
          <w:sz w:val="24"/>
          <w:szCs w:val="24"/>
          <w:lang w:val="en-GB"/>
        </w:rPr>
        <w:t>is</w:t>
      </w:r>
      <w:r w:rsidR="002F44DA" w:rsidRPr="00AF0CE3">
        <w:rPr>
          <w:sz w:val="24"/>
          <w:szCs w:val="24"/>
          <w:lang w:val="en-GB"/>
        </w:rPr>
        <w:t xml:space="preserve"> a</w:t>
      </w:r>
      <w:r w:rsidR="004E6805">
        <w:rPr>
          <w:sz w:val="24"/>
          <w:szCs w:val="24"/>
          <w:lang w:val="en-GB"/>
        </w:rPr>
        <w:t xml:space="preserve"> highly</w:t>
      </w:r>
      <w:r w:rsidR="002F44DA" w:rsidRPr="00AF0CE3">
        <w:rPr>
          <w:sz w:val="24"/>
          <w:szCs w:val="24"/>
          <w:lang w:val="en-GB"/>
        </w:rPr>
        <w:t xml:space="preserve"> useful tool t</w:t>
      </w:r>
      <w:r w:rsidR="00B666D2" w:rsidRPr="00AF0CE3">
        <w:rPr>
          <w:sz w:val="24"/>
          <w:szCs w:val="24"/>
          <w:lang w:val="en-GB"/>
        </w:rPr>
        <w:t>o study patterns of distribution</w:t>
      </w:r>
      <w:r w:rsidR="004E6805">
        <w:rPr>
          <w:sz w:val="24"/>
          <w:szCs w:val="24"/>
          <w:lang w:val="en-GB"/>
        </w:rPr>
        <w:t>s</w:t>
      </w:r>
      <w:r w:rsidR="008938BD">
        <w:rPr>
          <w:sz w:val="24"/>
          <w:szCs w:val="24"/>
          <w:lang w:val="en-GB"/>
        </w:rPr>
        <w:t xml:space="preserve"> </w:t>
      </w:r>
      <w:r w:rsidR="008938BD" w:rsidRPr="00AC33A5">
        <w:rPr>
          <w:sz w:val="24"/>
          <w:lang w:val="en-US"/>
        </w:rPr>
        <w:t>(Chauvel, 2016; Chauvel &amp; Bar-Haim, 2016)</w:t>
      </w:r>
      <w:r w:rsidR="002F44DA" w:rsidRPr="00AF0CE3">
        <w:rPr>
          <w:sz w:val="24"/>
          <w:szCs w:val="24"/>
          <w:lang w:val="en-GB"/>
        </w:rPr>
        <w:t xml:space="preserve">. </w:t>
      </w:r>
      <w:r w:rsidR="0093741F">
        <w:rPr>
          <w:rFonts w:asciiTheme="majorBidi" w:hAnsiTheme="majorBidi" w:cstheme="majorBidi"/>
          <w:sz w:val="24"/>
          <w:szCs w:val="24"/>
          <w:lang w:val="en-GB"/>
        </w:rPr>
        <w:t xml:space="preserve">It </w:t>
      </w:r>
      <w:r w:rsidR="0093741F" w:rsidRPr="00EB5DE5">
        <w:rPr>
          <w:rFonts w:asciiTheme="majorBidi" w:hAnsiTheme="majorBidi" w:cstheme="majorBidi"/>
          <w:sz w:val="24"/>
          <w:szCs w:val="24"/>
          <w:lang w:val="en-GB"/>
        </w:rPr>
        <w:t xml:space="preserve">describes inequalities </w:t>
      </w:r>
      <w:r w:rsidR="0093741F">
        <w:rPr>
          <w:rFonts w:asciiTheme="majorBidi" w:hAnsiTheme="majorBidi" w:cstheme="majorBidi"/>
          <w:sz w:val="24"/>
          <w:szCs w:val="24"/>
          <w:lang w:val="en-GB"/>
        </w:rPr>
        <w:t>at</w:t>
      </w:r>
      <w:r w:rsidR="0093741F" w:rsidRPr="00EB5DE5">
        <w:rPr>
          <w:rFonts w:asciiTheme="majorBidi" w:hAnsiTheme="majorBidi" w:cstheme="majorBidi"/>
          <w:sz w:val="24"/>
          <w:szCs w:val="24"/>
          <w:lang w:val="en-GB"/>
        </w:rPr>
        <w:t xml:space="preserve"> different income or wealth levels, thus providing the level-specific inequalit</w:t>
      </w:r>
      <w:r w:rsidR="0093741F">
        <w:rPr>
          <w:rFonts w:asciiTheme="majorBidi" w:hAnsiTheme="majorBidi" w:cstheme="majorBidi"/>
          <w:sz w:val="24"/>
          <w:szCs w:val="24"/>
          <w:lang w:val="en-GB"/>
        </w:rPr>
        <w:t>y patterns</w:t>
      </w:r>
      <w:r w:rsidR="0093741F" w:rsidRPr="005E66DE">
        <w:rPr>
          <w:rFonts w:asciiTheme="majorBidi" w:hAnsiTheme="majorBidi" w:cstheme="majorBidi"/>
          <w:sz w:val="24"/>
          <w:szCs w:val="24"/>
          <w:lang w:val="en-GB"/>
        </w:rPr>
        <w:t xml:space="preserve"> </w:t>
      </w:r>
      <w:r w:rsidR="0093741F">
        <w:rPr>
          <w:rFonts w:asciiTheme="majorBidi" w:hAnsiTheme="majorBidi" w:cstheme="majorBidi"/>
          <w:sz w:val="24"/>
          <w:szCs w:val="24"/>
          <w:lang w:val="en-GB"/>
        </w:rPr>
        <w:t xml:space="preserve">together with the </w:t>
      </w:r>
      <w:r w:rsidR="0093741F" w:rsidRPr="00EB5DE5">
        <w:rPr>
          <w:rFonts w:asciiTheme="majorBidi" w:hAnsiTheme="majorBidi" w:cstheme="majorBidi"/>
          <w:sz w:val="24"/>
          <w:szCs w:val="24"/>
          <w:lang w:val="en-GB"/>
        </w:rPr>
        <w:t xml:space="preserve">overall inequality, serving as </w:t>
      </w:r>
      <w:r w:rsidR="00CB70C9">
        <w:rPr>
          <w:rFonts w:asciiTheme="majorBidi" w:hAnsiTheme="majorBidi" w:cstheme="majorBidi"/>
          <w:sz w:val="24"/>
          <w:szCs w:val="24"/>
          <w:lang w:val="en-GB"/>
        </w:rPr>
        <w:t>a sort of generalization of Gini index (</w:t>
      </w:r>
      <w:r w:rsidR="0093741F" w:rsidRPr="00EB5DE5">
        <w:rPr>
          <w:rFonts w:asciiTheme="majorBidi" w:hAnsiTheme="majorBidi" w:cstheme="majorBidi"/>
          <w:sz w:val="24"/>
          <w:szCs w:val="24"/>
          <w:lang w:val="en-GB"/>
        </w:rPr>
        <w:t>in the sense that</w:t>
      </w:r>
      <w:r w:rsidR="0093741F">
        <w:rPr>
          <w:rFonts w:asciiTheme="majorBidi" w:hAnsiTheme="majorBidi" w:cstheme="majorBidi"/>
          <w:sz w:val="24"/>
          <w:szCs w:val="24"/>
          <w:lang w:val="en-GB"/>
        </w:rPr>
        <w:t>,</w:t>
      </w:r>
      <w:r w:rsidR="0093741F" w:rsidRPr="00EB5DE5">
        <w:rPr>
          <w:rFonts w:asciiTheme="majorBidi" w:hAnsiTheme="majorBidi" w:cstheme="majorBidi"/>
          <w:sz w:val="24"/>
          <w:szCs w:val="24"/>
          <w:lang w:val="en-GB"/>
        </w:rPr>
        <w:t xml:space="preserve"> if ISO is a constant</w:t>
      </w:r>
      <w:r w:rsidR="0093741F">
        <w:rPr>
          <w:rFonts w:asciiTheme="majorBidi" w:hAnsiTheme="majorBidi" w:cstheme="majorBidi"/>
          <w:sz w:val="24"/>
          <w:szCs w:val="24"/>
          <w:lang w:val="en-GB"/>
        </w:rPr>
        <w:t>,</w:t>
      </w:r>
      <w:r w:rsidR="0093741F" w:rsidRPr="00EB5DE5">
        <w:rPr>
          <w:rFonts w:asciiTheme="majorBidi" w:hAnsiTheme="majorBidi" w:cstheme="majorBidi"/>
          <w:sz w:val="24"/>
          <w:szCs w:val="24"/>
          <w:lang w:val="en-GB"/>
        </w:rPr>
        <w:t xml:space="preserve"> </w:t>
      </w:r>
      <w:r w:rsidR="0093741F" w:rsidRPr="00C76B5C">
        <w:rPr>
          <w:rFonts w:asciiTheme="majorBidi" w:hAnsiTheme="majorBidi" w:cstheme="majorBidi"/>
          <w:i/>
          <w:sz w:val="24"/>
          <w:szCs w:val="24"/>
          <w:lang w:val="en-GB"/>
        </w:rPr>
        <w:t>Gini = ISO</w:t>
      </w:r>
      <w:r w:rsidR="00CB70C9">
        <w:rPr>
          <w:rFonts w:asciiTheme="majorBidi" w:hAnsiTheme="majorBidi" w:cstheme="majorBidi"/>
          <w:sz w:val="24"/>
          <w:szCs w:val="24"/>
          <w:lang w:val="en-GB"/>
        </w:rPr>
        <w:t>) that is variable across the resource scale</w:t>
      </w:r>
      <w:r w:rsidR="0093741F" w:rsidRPr="00EB5DE5">
        <w:rPr>
          <w:rFonts w:asciiTheme="majorBidi" w:hAnsiTheme="majorBidi" w:cstheme="majorBidi"/>
          <w:sz w:val="24"/>
          <w:szCs w:val="24"/>
          <w:lang w:val="en-GB"/>
        </w:rPr>
        <w:t xml:space="preserve">. The formal definition of </w:t>
      </w:r>
      <w:r w:rsidR="0093741F" w:rsidRPr="00C76B5C">
        <w:rPr>
          <w:rFonts w:asciiTheme="majorBidi" w:hAnsiTheme="majorBidi" w:cstheme="majorBidi"/>
          <w:i/>
          <w:sz w:val="24"/>
          <w:szCs w:val="24"/>
          <w:lang w:val="en-GB"/>
        </w:rPr>
        <w:t>Isograph</w:t>
      </w:r>
      <w:r w:rsidR="0093741F" w:rsidRPr="00EB5DE5">
        <w:rPr>
          <w:rFonts w:asciiTheme="majorBidi" w:hAnsiTheme="majorBidi" w:cstheme="majorBidi"/>
          <w:sz w:val="24"/>
          <w:szCs w:val="24"/>
          <w:lang w:val="en-GB"/>
        </w:rPr>
        <w:t xml:space="preserve"> is as follows:</w:t>
      </w:r>
    </w:p>
    <w:p w14:paraId="591B9A52" w14:textId="77777777" w:rsidR="00B666D2" w:rsidRPr="009A1147" w:rsidRDefault="00B666D2" w:rsidP="00634B95">
      <w:pPr>
        <w:spacing w:line="480" w:lineRule="auto"/>
        <w:jc w:val="both"/>
        <w:rPr>
          <w:sz w:val="24"/>
          <w:szCs w:val="24"/>
          <w:lang w:val="en-GB"/>
        </w:rPr>
      </w:pPr>
      <m:oMathPara>
        <m:oMath>
          <m:r>
            <w:rPr>
              <w:rFonts w:ascii="Cambria Math" w:hAnsi="Cambria Math"/>
              <w:sz w:val="24"/>
              <w:szCs w:val="24"/>
              <w:lang w:val="en-GB"/>
            </w:rPr>
            <m:t>IS</m:t>
          </m:r>
          <m:sSub>
            <m:sSubPr>
              <m:ctrlPr>
                <w:rPr>
                  <w:rFonts w:ascii="Cambria Math" w:hAnsi="Cambria Math"/>
                  <w:sz w:val="24"/>
                  <w:szCs w:val="24"/>
                  <w:lang w:val="en-GB"/>
                </w:rPr>
              </m:ctrlPr>
            </m:sSubPr>
            <m:e>
              <m:r>
                <w:rPr>
                  <w:rFonts w:ascii="Cambria Math" w:hAnsi="Cambria Math"/>
                  <w:sz w:val="24"/>
                  <w:szCs w:val="24"/>
                  <w:lang w:val="en-GB"/>
                </w:rPr>
                <m:t>O</m:t>
              </m:r>
            </m:e>
            <m:sub>
              <m:r>
                <m:rPr>
                  <m:sty m:val="p"/>
                </m:rPr>
                <w:rPr>
                  <w:rFonts w:ascii="Cambria Math" w:hAnsi="Cambria Math"/>
                  <w:sz w:val="24"/>
                  <w:szCs w:val="24"/>
                  <w:lang w:val="en-GB"/>
                </w:rPr>
                <m:t>i</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ln⁡(</m:t>
              </m:r>
              <m:f>
                <m:fPr>
                  <m:ctrlPr>
                    <w:rPr>
                      <w:rFonts w:ascii="Cambria Math" w:hAnsi="Cambria Math"/>
                      <w:sz w:val="24"/>
                      <w:szCs w:val="24"/>
                      <w:lang w:val="en-GB"/>
                    </w:rPr>
                  </m:ctrlPr>
                </m:fPr>
                <m:num>
                  <m:r>
                    <w:rPr>
                      <w:rFonts w:ascii="Cambria Math" w:hAnsi="Cambria Math"/>
                      <w:sz w:val="24"/>
                      <w:szCs w:val="24"/>
                      <w:lang w:val="en-GB"/>
                    </w:rPr>
                    <m:t>income</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num>
                <m:den>
                  <m:r>
                    <w:rPr>
                      <w:rFonts w:ascii="Cambria Math" w:hAnsi="Cambria Math"/>
                      <w:sz w:val="24"/>
                      <w:szCs w:val="24"/>
                      <w:lang w:val="en-GB"/>
                    </w:rPr>
                    <m:t>median</m:t>
                  </m:r>
                  <m:d>
                    <m:dPr>
                      <m:ctrlPr>
                        <w:rPr>
                          <w:rFonts w:ascii="Cambria Math" w:hAnsi="Cambria Math"/>
                          <w:sz w:val="24"/>
                          <w:szCs w:val="24"/>
                          <w:lang w:val="en-GB"/>
                        </w:rPr>
                      </m:ctrlPr>
                    </m:dPr>
                    <m:e>
                      <m:r>
                        <w:rPr>
                          <w:rFonts w:ascii="Cambria Math" w:hAnsi="Cambria Math"/>
                          <w:sz w:val="24"/>
                          <w:szCs w:val="24"/>
                          <w:lang w:val="en-GB"/>
                        </w:rPr>
                        <m:t>income</m:t>
                      </m:r>
                    </m:e>
                  </m:d>
                </m:den>
              </m:f>
              <m:r>
                <m:rPr>
                  <m:sty m:val="p"/>
                </m:rPr>
                <w:rPr>
                  <w:rFonts w:ascii="Cambria Math" w:hAnsi="Cambria Math"/>
                  <w:sz w:val="24"/>
                  <w:szCs w:val="24"/>
                  <w:lang w:val="en-GB"/>
                </w:rPr>
                <m:t>)</m:t>
              </m:r>
            </m:num>
            <m:den>
              <m:r>
                <w:rPr>
                  <w:rFonts w:ascii="Cambria Math" w:hAnsi="Cambria Math"/>
                  <w:sz w:val="24"/>
                  <w:szCs w:val="24"/>
                  <w:lang w:val="en-GB"/>
                </w:rPr>
                <m:t>logit</m:t>
              </m:r>
              <m:r>
                <m:rPr>
                  <m:sty m:val="p"/>
                </m:rPr>
                <w:rPr>
                  <w:rFonts w:ascii="Cambria Math" w:hAnsi="Cambria Math"/>
                  <w:sz w:val="24"/>
                  <w:szCs w:val="24"/>
                  <w:lang w:val="en-GB"/>
                </w:rPr>
                <m:t>(</m:t>
              </m:r>
              <m:r>
                <w:rPr>
                  <w:rFonts w:ascii="Cambria Math" w:hAnsi="Cambria Math"/>
                  <w:sz w:val="24"/>
                  <w:szCs w:val="24"/>
                  <w:lang w:val="en-GB"/>
                </w:rPr>
                <m:t>p</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r>
                <m:rPr>
                  <m:sty m:val="p"/>
                </m:rPr>
                <w:rPr>
                  <w:rFonts w:ascii="Cambria Math" w:hAnsi="Cambria Math"/>
                  <w:sz w:val="24"/>
                  <w:szCs w:val="24"/>
                  <w:lang w:val="en-GB"/>
                </w:rPr>
                <m:t>)</m:t>
              </m:r>
            </m:den>
          </m:f>
        </m:oMath>
      </m:oMathPara>
    </w:p>
    <w:p w14:paraId="27A020A8" w14:textId="136F7FDB" w:rsidR="00A8042F" w:rsidRDefault="008938BD" w:rsidP="00A8042F">
      <w:pPr>
        <w:spacing w:line="480" w:lineRule="auto"/>
        <w:jc w:val="both"/>
        <w:rPr>
          <w:rFonts w:asciiTheme="majorBidi" w:hAnsiTheme="majorBidi" w:cstheme="majorBidi"/>
          <w:sz w:val="24"/>
          <w:szCs w:val="24"/>
          <w:lang w:val="en-GB"/>
        </w:rPr>
      </w:pPr>
      <w:r>
        <w:rPr>
          <w:sz w:val="24"/>
          <w:szCs w:val="24"/>
          <w:lang w:val="en-GB"/>
        </w:rPr>
        <w:lastRenderedPageBreak/>
        <w:t>w</w:t>
      </w:r>
      <w:r w:rsidR="00B666D2" w:rsidRPr="00DB486A">
        <w:rPr>
          <w:sz w:val="24"/>
          <w:szCs w:val="24"/>
          <w:lang w:val="en-GB"/>
        </w:rPr>
        <w:t>here logit(</w:t>
      </w:r>
      <w:r w:rsidR="00243A0B" w:rsidRPr="000F7E4A">
        <w:rPr>
          <w:sz w:val="24"/>
          <w:szCs w:val="24"/>
          <w:lang w:val="en-GB"/>
        </w:rPr>
        <w:t>p</w:t>
      </w:r>
      <w:r w:rsidR="00B666D2" w:rsidRPr="000F7E4A">
        <w:rPr>
          <w:sz w:val="24"/>
          <w:szCs w:val="24"/>
          <w:lang w:val="en-GB"/>
        </w:rPr>
        <w:t>) = ln(</w:t>
      </w:r>
      <w:r w:rsidR="00243A0B" w:rsidRPr="000F7E4A">
        <w:rPr>
          <w:sz w:val="24"/>
          <w:szCs w:val="24"/>
          <w:lang w:val="en-GB"/>
        </w:rPr>
        <w:t>p</w:t>
      </w:r>
      <w:r w:rsidR="00B666D2" w:rsidRPr="006167D9">
        <w:rPr>
          <w:sz w:val="24"/>
          <w:szCs w:val="24"/>
          <w:lang w:val="en-GB"/>
        </w:rPr>
        <w:t>/(1-</w:t>
      </w:r>
      <w:r w:rsidR="00243A0B" w:rsidRPr="006167D9">
        <w:rPr>
          <w:sz w:val="24"/>
          <w:szCs w:val="24"/>
          <w:lang w:val="en-GB"/>
        </w:rPr>
        <w:t>p</w:t>
      </w:r>
      <w:r w:rsidR="00B666D2" w:rsidRPr="00AF30C1">
        <w:rPr>
          <w:sz w:val="24"/>
          <w:szCs w:val="24"/>
          <w:lang w:val="en-GB"/>
        </w:rPr>
        <w:t xml:space="preserve">)) and </w:t>
      </w:r>
      <m:oMath>
        <m:r>
          <w:rPr>
            <w:rFonts w:ascii="Cambria Math" w:hAnsi="Cambria Math"/>
            <w:sz w:val="24"/>
            <w:szCs w:val="24"/>
            <w:lang w:val="en-GB"/>
          </w:rPr>
          <m:t>p</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r>
          <m:rPr>
            <m:sty m:val="p"/>
          </m:rPr>
          <w:rPr>
            <w:rFonts w:ascii="Cambria Math" w:hAnsi="Cambria Math"/>
            <w:sz w:val="24"/>
            <w:szCs w:val="24"/>
            <w:lang w:val="en-GB"/>
          </w:rPr>
          <m:t>∈]0,1[</m:t>
        </m:r>
      </m:oMath>
      <w:r w:rsidR="00B666D2" w:rsidRPr="00DB486A">
        <w:rPr>
          <w:sz w:val="24"/>
          <w:szCs w:val="24"/>
          <w:lang w:val="en-GB"/>
        </w:rPr>
        <w:t xml:space="preserve"> is the fractional rank order of income</w:t>
      </w:r>
      <w:r w:rsidR="005D0527" w:rsidRPr="000F7E4A">
        <w:rPr>
          <w:sz w:val="24"/>
          <w:szCs w:val="24"/>
          <w:lang w:val="en-GB"/>
        </w:rPr>
        <w:t xml:space="preserve"> or wealth</w:t>
      </w:r>
      <w:r w:rsidR="00B666D2" w:rsidRPr="000F7E4A">
        <w:rPr>
          <w:sz w:val="24"/>
          <w:szCs w:val="24"/>
          <w:lang w:val="en-GB"/>
        </w:rPr>
        <w:t xml:space="preserve"> </w:t>
      </w:r>
      <w:r w:rsidR="007B140D">
        <w:rPr>
          <w:sz w:val="24"/>
          <w:szCs w:val="24"/>
          <w:lang w:val="en-GB"/>
        </w:rPr>
        <w:t>percentiles</w:t>
      </w:r>
      <w:r w:rsidR="00B666D2" w:rsidRPr="00DB486A">
        <w:rPr>
          <w:sz w:val="24"/>
          <w:szCs w:val="24"/>
          <w:lang w:val="en-GB"/>
        </w:rPr>
        <w:t>.</w:t>
      </w:r>
      <w:r w:rsidRPr="00243A0B">
        <w:rPr>
          <w:sz w:val="24"/>
          <w:szCs w:val="24"/>
          <w:vertAlign w:val="superscript"/>
          <w:lang w:val="en-GB"/>
        </w:rPr>
        <w:footnoteReference w:id="3"/>
      </w:r>
      <w:r w:rsidR="00B666D2" w:rsidRPr="00DB486A">
        <w:rPr>
          <w:sz w:val="24"/>
          <w:szCs w:val="24"/>
          <w:lang w:val="en-GB"/>
        </w:rPr>
        <w:t xml:space="preserve"> For individual i of </w:t>
      </w:r>
      <m:oMath>
        <m:r>
          <w:rPr>
            <w:rFonts w:ascii="Cambria Math" w:hAnsi="Cambria Math"/>
            <w:sz w:val="24"/>
            <w:szCs w:val="24"/>
            <w:lang w:val="en-GB"/>
          </w:rPr>
          <m:t>income</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oMath>
      <w:r w:rsidR="00B666D2" w:rsidRPr="00DB486A">
        <w:rPr>
          <w:sz w:val="24"/>
          <w:szCs w:val="24"/>
          <w:lang w:val="en-GB"/>
        </w:rPr>
        <w:t xml:space="preserve">, the fractional rank is </w:t>
      </w:r>
      <m:oMath>
        <m:r>
          <w:rPr>
            <w:rFonts w:ascii="Cambria Math" w:hAnsi="Cambria Math"/>
            <w:sz w:val="24"/>
            <w:szCs w:val="24"/>
            <w:lang w:val="en-GB"/>
          </w:rPr>
          <m:t>p</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oMath>
      <w:r w:rsidR="00B666D2" w:rsidRPr="00DB486A">
        <w:rPr>
          <w:sz w:val="24"/>
          <w:szCs w:val="24"/>
          <w:lang w:val="en-GB"/>
        </w:rPr>
        <w:t xml:space="preserve">. The value </w:t>
      </w:r>
      <m:oMath>
        <m:r>
          <w:rPr>
            <w:rFonts w:ascii="Cambria Math" w:hAnsi="Cambria Math"/>
            <w:sz w:val="24"/>
            <w:szCs w:val="24"/>
            <w:lang w:val="en-GB"/>
          </w:rPr>
          <m:t>X</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r>
          <m:rPr>
            <m:sty m:val="p"/>
          </m:rPr>
          <w:rPr>
            <w:rFonts w:ascii="Cambria Math" w:hAnsi="Cambria Math"/>
            <w:sz w:val="24"/>
            <w:szCs w:val="24"/>
            <w:lang w:val="en-GB"/>
          </w:rPr>
          <m:t xml:space="preserve">= </m:t>
        </m:r>
        <m:r>
          <w:rPr>
            <w:rFonts w:ascii="Cambria Math" w:hAnsi="Cambria Math"/>
            <w:sz w:val="24"/>
            <w:szCs w:val="24"/>
            <w:lang w:val="en-GB"/>
          </w:rPr>
          <m:t>logit</m:t>
        </m:r>
        <m:r>
          <m:rPr>
            <m:sty m:val="p"/>
          </m:rPr>
          <w:rPr>
            <w:rFonts w:ascii="Cambria Math" w:hAnsi="Cambria Math"/>
            <w:sz w:val="24"/>
            <w:szCs w:val="24"/>
            <w:lang w:val="en-GB"/>
          </w:rPr>
          <m:t>(</m:t>
        </m:r>
        <m:r>
          <w:rPr>
            <w:rFonts w:ascii="Cambria Math" w:hAnsi="Cambria Math"/>
            <w:sz w:val="24"/>
            <w:szCs w:val="24"/>
            <w:lang w:val="en-GB"/>
          </w:rPr>
          <m:t>p</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r>
          <m:rPr>
            <m:sty m:val="p"/>
          </m:rPr>
          <w:rPr>
            <w:rFonts w:ascii="Cambria Math" w:hAnsi="Cambria Math"/>
            <w:sz w:val="24"/>
            <w:szCs w:val="24"/>
            <w:lang w:val="en-GB"/>
          </w:rPr>
          <m:t>)</m:t>
        </m:r>
      </m:oMath>
      <w:r w:rsidR="00B666D2" w:rsidRPr="00DB486A">
        <w:rPr>
          <w:sz w:val="24"/>
          <w:szCs w:val="24"/>
          <w:lang w:val="en-GB"/>
        </w:rPr>
        <w:t>, the “logit rank”, va</w:t>
      </w:r>
      <w:r w:rsidR="00B666D2" w:rsidRPr="00AF30C1">
        <w:rPr>
          <w:sz w:val="24"/>
          <w:szCs w:val="24"/>
          <w:lang w:val="en-GB"/>
        </w:rPr>
        <w:t>r</w:t>
      </w:r>
      <w:r w:rsidR="00B666D2" w:rsidRPr="00AF0CE3">
        <w:rPr>
          <w:sz w:val="24"/>
          <w:szCs w:val="24"/>
          <w:lang w:val="en-GB"/>
        </w:rPr>
        <w:t>ies from minus to plus infinite, with a value of 0 for the median</w:t>
      </w:r>
      <w:r w:rsidR="000F7E4A">
        <w:rPr>
          <w:sz w:val="24"/>
          <w:szCs w:val="24"/>
          <w:lang w:val="en-GB"/>
        </w:rPr>
        <w:t xml:space="preserve"> </w:t>
      </w:r>
      <w:r w:rsidR="000F7E4A" w:rsidRPr="00AF0CE3">
        <w:rPr>
          <w:sz w:val="24"/>
          <w:szCs w:val="24"/>
          <w:lang w:val="en-GB"/>
        </w:rPr>
        <w:t xml:space="preserve">(see Table </w:t>
      </w:r>
      <w:r w:rsidR="000F7E4A">
        <w:rPr>
          <w:sz w:val="24"/>
          <w:szCs w:val="24"/>
          <w:lang w:val="en-GB"/>
        </w:rPr>
        <w:t>A.</w:t>
      </w:r>
      <w:r w:rsidR="000F7E4A" w:rsidRPr="00AF0CE3">
        <w:rPr>
          <w:sz w:val="24"/>
          <w:szCs w:val="24"/>
          <w:lang w:val="en-GB"/>
        </w:rPr>
        <w:t>1</w:t>
      </w:r>
      <w:r w:rsidR="000F7E4A">
        <w:rPr>
          <w:sz w:val="24"/>
          <w:szCs w:val="24"/>
          <w:lang w:val="en-GB"/>
        </w:rPr>
        <w:t xml:space="preserve"> in the annex for </w:t>
      </w:r>
      <w:r w:rsidR="00C079BA">
        <w:rPr>
          <w:sz w:val="24"/>
          <w:szCs w:val="24"/>
          <w:lang w:val="en-GB"/>
        </w:rPr>
        <w:t xml:space="preserve">the </w:t>
      </w:r>
      <w:r w:rsidR="000F7E4A">
        <w:rPr>
          <w:sz w:val="24"/>
          <w:szCs w:val="24"/>
          <w:lang w:val="en-GB"/>
        </w:rPr>
        <w:t>conversion</w:t>
      </w:r>
      <w:r w:rsidR="000F7E4A" w:rsidRPr="00AF0CE3">
        <w:rPr>
          <w:sz w:val="24"/>
          <w:szCs w:val="24"/>
          <w:lang w:val="en-GB"/>
        </w:rPr>
        <w:t>)</w:t>
      </w:r>
      <w:r w:rsidR="00B666D2" w:rsidRPr="00AF0CE3">
        <w:rPr>
          <w:sz w:val="24"/>
          <w:szCs w:val="24"/>
          <w:lang w:val="en-GB"/>
        </w:rPr>
        <w:t xml:space="preserve">. </w:t>
      </w:r>
      <w:r w:rsidR="00A8042F">
        <w:rPr>
          <w:rFonts w:asciiTheme="majorBidi" w:hAnsiTheme="majorBidi" w:cstheme="majorBidi"/>
          <w:sz w:val="24"/>
          <w:szCs w:val="24"/>
          <w:lang w:val="en-GB"/>
        </w:rPr>
        <w:t>Note that the point estimate of the median itself is not defined in this equation as the denominator equals zero in this case.</w:t>
      </w:r>
    </w:p>
    <w:p w14:paraId="12FC279D" w14:textId="672926CC" w:rsidR="00B666D2" w:rsidRPr="00AF0CE3" w:rsidRDefault="00B666D2" w:rsidP="00634B95">
      <w:pPr>
        <w:spacing w:line="480" w:lineRule="auto"/>
        <w:jc w:val="both"/>
        <w:rPr>
          <w:sz w:val="24"/>
          <w:szCs w:val="24"/>
          <w:lang w:val="en-GB"/>
        </w:rPr>
      </w:pPr>
      <w:r w:rsidRPr="00AF0CE3">
        <w:rPr>
          <w:sz w:val="24"/>
          <w:szCs w:val="24"/>
          <w:lang w:val="en-GB"/>
        </w:rPr>
        <w:t>In a nutshell, logit rank is particularly useful to standardize variables in comparative inequality contexts, and it is a strong tool for the exploration of income tails. This X = logit(</w:t>
      </w:r>
      <w:r w:rsidR="00243A0B">
        <w:rPr>
          <w:sz w:val="24"/>
          <w:szCs w:val="24"/>
          <w:lang w:val="en-GB"/>
        </w:rPr>
        <w:t>p</w:t>
      </w:r>
      <w:r w:rsidRPr="00AF0CE3">
        <w:rPr>
          <w:sz w:val="24"/>
          <w:szCs w:val="24"/>
          <w:lang w:val="en-GB"/>
        </w:rPr>
        <w:t>) allows the comparative analysis of country variation</w:t>
      </w:r>
      <w:r w:rsidR="000F7E4A">
        <w:rPr>
          <w:sz w:val="24"/>
          <w:szCs w:val="24"/>
          <w:lang w:val="en-GB"/>
        </w:rPr>
        <w:t>,</w:t>
      </w:r>
      <w:r w:rsidRPr="00AF0CE3">
        <w:rPr>
          <w:sz w:val="24"/>
          <w:szCs w:val="24"/>
          <w:lang w:val="en-GB"/>
        </w:rPr>
        <w:t xml:space="preserve"> e.g. comparing the bottom </w:t>
      </w:r>
      <w:r w:rsidR="00AF30C1">
        <w:rPr>
          <w:sz w:val="24"/>
          <w:szCs w:val="24"/>
          <w:lang w:val="en-GB"/>
        </w:rPr>
        <w:t>five</w:t>
      </w:r>
      <w:r w:rsidRPr="00AF0CE3">
        <w:rPr>
          <w:sz w:val="24"/>
          <w:szCs w:val="24"/>
          <w:lang w:val="en-GB"/>
        </w:rPr>
        <w:t xml:space="preserve"> </w:t>
      </w:r>
      <w:r w:rsidR="00AF30C1">
        <w:rPr>
          <w:sz w:val="24"/>
          <w:szCs w:val="24"/>
          <w:lang w:val="en-GB"/>
        </w:rPr>
        <w:t xml:space="preserve">percent </w:t>
      </w:r>
      <w:r w:rsidRPr="00AF0CE3">
        <w:rPr>
          <w:sz w:val="24"/>
          <w:szCs w:val="24"/>
          <w:lang w:val="en-GB"/>
        </w:rPr>
        <w:t xml:space="preserve">of country A to the bottom </w:t>
      </w:r>
      <w:r w:rsidR="00AF30C1">
        <w:rPr>
          <w:sz w:val="24"/>
          <w:szCs w:val="24"/>
          <w:lang w:val="en-GB"/>
        </w:rPr>
        <w:t>five</w:t>
      </w:r>
      <w:r w:rsidRPr="00AF0CE3">
        <w:rPr>
          <w:sz w:val="24"/>
          <w:szCs w:val="24"/>
          <w:lang w:val="en-GB"/>
        </w:rPr>
        <w:t xml:space="preserve"> </w:t>
      </w:r>
      <w:r w:rsidR="00AF30C1">
        <w:rPr>
          <w:sz w:val="24"/>
          <w:szCs w:val="24"/>
          <w:lang w:val="en-GB"/>
        </w:rPr>
        <w:t>percent</w:t>
      </w:r>
      <w:r w:rsidRPr="00AF0CE3">
        <w:rPr>
          <w:sz w:val="24"/>
          <w:szCs w:val="24"/>
          <w:lang w:val="en-GB"/>
        </w:rPr>
        <w:t xml:space="preserve"> of country B.</w:t>
      </w:r>
      <w:r w:rsidRPr="00243A0B">
        <w:rPr>
          <w:sz w:val="24"/>
          <w:szCs w:val="24"/>
          <w:vertAlign w:val="superscript"/>
          <w:lang w:val="en-GB"/>
        </w:rPr>
        <w:footnoteReference w:id="4"/>
      </w:r>
      <w:r w:rsidRPr="00AF0CE3">
        <w:rPr>
          <w:sz w:val="24"/>
          <w:szCs w:val="24"/>
          <w:lang w:val="en-GB"/>
        </w:rPr>
        <w:t xml:space="preserve"> </w:t>
      </w:r>
    </w:p>
    <w:p w14:paraId="60428691" w14:textId="3788BE10" w:rsidR="00B666D2" w:rsidRPr="00AF0CE3" w:rsidRDefault="00B666D2" w:rsidP="00634B95">
      <w:pPr>
        <w:spacing w:line="480" w:lineRule="auto"/>
        <w:jc w:val="both"/>
        <w:rPr>
          <w:sz w:val="24"/>
          <w:szCs w:val="24"/>
          <w:lang w:val="en-GB"/>
        </w:rPr>
      </w:pPr>
      <w:r w:rsidRPr="00AF0CE3">
        <w:rPr>
          <w:sz w:val="24"/>
          <w:szCs w:val="24"/>
          <w:lang w:val="en-GB"/>
        </w:rPr>
        <w:t xml:space="preserve">The log-medianized income of individual i is </w:t>
      </w:r>
      <m:oMath>
        <m:r>
          <w:rPr>
            <w:rFonts w:ascii="Cambria Math" w:hAnsi="Cambria Math"/>
            <w:sz w:val="24"/>
            <w:szCs w:val="24"/>
            <w:lang w:val="en-GB"/>
          </w:rPr>
          <m:t>Y</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r>
          <m:rPr>
            <m:sty m:val="p"/>
          </m:rPr>
          <w:rPr>
            <w:rFonts w:ascii="Cambria Math" w:hAnsi="Cambria Math"/>
            <w:sz w:val="24"/>
            <w:szCs w:val="24"/>
            <w:lang w:val="en-GB"/>
          </w:rPr>
          <m:t>= ln⁡(</m:t>
        </m:r>
        <m:f>
          <m:fPr>
            <m:ctrlPr>
              <w:rPr>
                <w:rFonts w:ascii="Cambria Math" w:hAnsi="Cambria Math"/>
                <w:sz w:val="24"/>
                <w:szCs w:val="24"/>
                <w:lang w:val="en-GB"/>
              </w:rPr>
            </m:ctrlPr>
          </m:fPr>
          <m:num>
            <m:r>
              <w:rPr>
                <w:rFonts w:ascii="Cambria Math" w:hAnsi="Cambria Math"/>
                <w:sz w:val="24"/>
                <w:szCs w:val="24"/>
                <w:lang w:val="en-GB"/>
              </w:rPr>
              <m:t>income</m:t>
            </m:r>
            <m:r>
              <m:rPr>
                <m:sty m:val="p"/>
              </m:rPr>
              <w:rPr>
                <w:rFonts w:ascii="Cambria Math" w:hAnsi="Cambria Math"/>
                <w:sz w:val="24"/>
                <w:szCs w:val="24"/>
                <w:lang w:val="en-GB"/>
              </w:rPr>
              <w:softHyphen/>
            </m:r>
            <m:sSub>
              <m:sSubPr>
                <m:ctrlPr>
                  <w:rPr>
                    <w:rFonts w:ascii="Cambria Math" w:hAnsi="Cambria Math"/>
                    <w:sz w:val="24"/>
                    <w:szCs w:val="24"/>
                    <w:lang w:val="en-GB"/>
                  </w:rPr>
                </m:ctrlPr>
              </m:sSubPr>
              <m:e>
                <m:r>
                  <m:rPr>
                    <m:sty m:val="p"/>
                  </m:rPr>
                  <w:rPr>
                    <w:rFonts w:ascii="Cambria Math" w:hAnsi="Cambria Math"/>
                    <w:sz w:val="24"/>
                    <w:szCs w:val="24"/>
                    <w:lang w:val="en-GB"/>
                  </w:rPr>
                  <w:softHyphen/>
                </m:r>
              </m:e>
              <m:sub>
                <m:r>
                  <w:rPr>
                    <w:rFonts w:ascii="Cambria Math" w:hAnsi="Cambria Math"/>
                    <w:sz w:val="24"/>
                    <w:szCs w:val="24"/>
                    <w:lang w:val="en-GB"/>
                  </w:rPr>
                  <m:t>i</m:t>
                </m:r>
              </m:sub>
            </m:sSub>
          </m:num>
          <m:den>
            <m:r>
              <w:rPr>
                <w:rFonts w:ascii="Cambria Math" w:hAnsi="Cambria Math"/>
                <w:sz w:val="24"/>
                <w:szCs w:val="24"/>
                <w:lang w:val="en-GB"/>
              </w:rPr>
              <m:t>median</m:t>
            </m:r>
            <m:d>
              <m:dPr>
                <m:ctrlPr>
                  <w:rPr>
                    <w:rFonts w:ascii="Cambria Math" w:hAnsi="Cambria Math"/>
                    <w:sz w:val="24"/>
                    <w:szCs w:val="24"/>
                    <w:lang w:val="en-GB"/>
                  </w:rPr>
                </m:ctrlPr>
              </m:dPr>
              <m:e>
                <m:r>
                  <w:rPr>
                    <w:rFonts w:ascii="Cambria Math" w:hAnsi="Cambria Math"/>
                    <w:sz w:val="24"/>
                    <w:szCs w:val="24"/>
                    <w:lang w:val="en-GB"/>
                  </w:rPr>
                  <m:t>income</m:t>
                </m:r>
              </m:e>
            </m:d>
          </m:den>
        </m:f>
        <m:r>
          <m:rPr>
            <m:sty m:val="p"/>
          </m:rPr>
          <w:rPr>
            <w:rFonts w:ascii="Cambria Math" w:hAnsi="Cambria Math"/>
            <w:sz w:val="24"/>
            <w:szCs w:val="24"/>
            <w:lang w:val="en-GB"/>
          </w:rPr>
          <m:t>)</m:t>
        </m:r>
      </m:oMath>
      <w:r w:rsidRPr="00AF0CE3">
        <w:rPr>
          <w:sz w:val="24"/>
          <w:szCs w:val="24"/>
          <w:lang w:val="en-GB"/>
        </w:rPr>
        <w:t xml:space="preserve">. Chauvel </w:t>
      </w:r>
      <w:r w:rsidR="00C079BA">
        <w:rPr>
          <w:sz w:val="24"/>
          <w:szCs w:val="24"/>
          <w:lang w:val="en-GB"/>
        </w:rPr>
        <w:t>(</w:t>
      </w:r>
      <w:r w:rsidRPr="00AF0CE3">
        <w:rPr>
          <w:sz w:val="24"/>
          <w:szCs w:val="24"/>
          <w:lang w:val="en-GB"/>
        </w:rPr>
        <w:t xml:space="preserve">2016) </w:t>
      </w:r>
      <w:r w:rsidR="00C079BA">
        <w:rPr>
          <w:sz w:val="24"/>
          <w:szCs w:val="24"/>
          <w:lang w:val="en-GB"/>
        </w:rPr>
        <w:t>suggests</w:t>
      </w:r>
      <w:r w:rsidR="00C079BA" w:rsidRPr="00AF0CE3">
        <w:rPr>
          <w:sz w:val="24"/>
          <w:szCs w:val="24"/>
          <w:lang w:val="en-GB"/>
        </w:rPr>
        <w:t xml:space="preserve"> </w:t>
      </w:r>
      <w:r w:rsidRPr="00AF0CE3">
        <w:rPr>
          <w:sz w:val="24"/>
          <w:szCs w:val="24"/>
          <w:lang w:val="en-GB"/>
        </w:rPr>
        <w:t xml:space="preserve">that </w:t>
      </w:r>
      <w:r w:rsidRPr="00DD0D8A">
        <w:rPr>
          <w:i/>
          <w:sz w:val="24"/>
          <w:szCs w:val="24"/>
          <w:lang w:val="en-GB"/>
        </w:rPr>
        <w:t>Y</w:t>
      </w:r>
      <w:r w:rsidRPr="00AF0CE3">
        <w:rPr>
          <w:sz w:val="24"/>
          <w:szCs w:val="24"/>
          <w:lang w:val="en-GB"/>
        </w:rPr>
        <w:t xml:space="preserve"> is a monotonous, generally close to a linear function of </w:t>
      </w:r>
      <w:r w:rsidRPr="00DD0D8A">
        <w:rPr>
          <w:i/>
          <w:sz w:val="24"/>
          <w:szCs w:val="24"/>
          <w:lang w:val="en-GB"/>
        </w:rPr>
        <w:t>X</w:t>
      </w:r>
      <w:r w:rsidRPr="00AF0CE3">
        <w:rPr>
          <w:sz w:val="24"/>
          <w:szCs w:val="24"/>
          <w:lang w:val="en-GB"/>
        </w:rPr>
        <w:t xml:space="preserve"> with constant equal to zero</w:t>
      </w:r>
      <w:r w:rsidR="00C079BA">
        <w:rPr>
          <w:sz w:val="24"/>
          <w:szCs w:val="24"/>
          <w:lang w:val="en-GB"/>
        </w:rPr>
        <w:t xml:space="preserve"> where</w:t>
      </w:r>
      <w:r w:rsidRPr="00AF0CE3">
        <w:rPr>
          <w:sz w:val="24"/>
          <w:szCs w:val="24"/>
          <w:lang w:val="en-GB"/>
        </w:rPr>
        <w:t xml:space="preserve"> </w:t>
      </w:r>
      <m:oMath>
        <m:r>
          <w:rPr>
            <w:rFonts w:ascii="Cambria Math" w:hAnsi="Cambria Math"/>
            <w:sz w:val="24"/>
            <w:szCs w:val="24"/>
            <w:lang w:val="en-GB"/>
          </w:rPr>
          <m:t>Y</m:t>
        </m:r>
        <m:r>
          <m:rPr>
            <m:sty m:val="p"/>
          </m:rPr>
          <w:rPr>
            <w:rFonts w:ascii="Cambria Math" w:hAnsi="Cambria Math"/>
            <w:sz w:val="24"/>
            <w:szCs w:val="24"/>
            <w:lang w:val="en-GB"/>
          </w:rPr>
          <m:t xml:space="preserve"> ≈</m:t>
        </m:r>
        <m:r>
          <w:rPr>
            <w:rFonts w:ascii="Cambria Math" w:hAnsi="Cambria Math"/>
            <w:sz w:val="24"/>
            <w:szCs w:val="24"/>
            <w:lang w:val="en-GB"/>
          </w:rPr>
          <m:t>α X</m:t>
        </m:r>
      </m:oMath>
      <w:r w:rsidRPr="00AF0CE3">
        <w:rPr>
          <w:sz w:val="24"/>
          <w:szCs w:val="24"/>
          <w:lang w:val="en-GB"/>
        </w:rPr>
        <w:t xml:space="preserve">. When Y is a perfectly straight line, income is a Champernowne-Fisk distribution with Gini = </w:t>
      </w:r>
      <m:oMath>
        <m:r>
          <w:rPr>
            <w:rFonts w:ascii="Cambria Math" w:hAnsi="Cambria Math"/>
            <w:sz w:val="24"/>
            <w:szCs w:val="24"/>
            <w:lang w:val="en-GB"/>
          </w:rPr>
          <m:t>α</m:t>
        </m:r>
      </m:oMath>
      <w:r w:rsidRPr="00AF0CE3">
        <w:rPr>
          <w:sz w:val="24"/>
          <w:szCs w:val="24"/>
          <w:lang w:val="en-GB"/>
        </w:rPr>
        <w:t xml:space="preserve">. </w:t>
      </w:r>
    </w:p>
    <w:p w14:paraId="73315A7D" w14:textId="04C3BCCD" w:rsidR="00B666D2" w:rsidRPr="00AF0CE3" w:rsidRDefault="00B666D2" w:rsidP="00634B95">
      <w:pPr>
        <w:spacing w:line="480" w:lineRule="auto"/>
        <w:jc w:val="both"/>
        <w:rPr>
          <w:sz w:val="24"/>
          <w:szCs w:val="24"/>
          <w:lang w:val="en-GB"/>
        </w:rPr>
      </w:pPr>
      <w:r w:rsidRPr="00AF0CE3">
        <w:rPr>
          <w:sz w:val="24"/>
          <w:szCs w:val="24"/>
          <w:lang w:val="en-GB"/>
        </w:rPr>
        <w:t xml:space="preserve">We define ISO = Y/X at </w:t>
      </w:r>
      <w:r w:rsidR="00067EA7">
        <w:rPr>
          <w:sz w:val="24"/>
          <w:szCs w:val="24"/>
          <w:lang w:val="en-GB"/>
        </w:rPr>
        <w:t>different</w:t>
      </w:r>
      <w:r w:rsidR="00067EA7" w:rsidRPr="00AF0CE3">
        <w:rPr>
          <w:sz w:val="24"/>
          <w:szCs w:val="24"/>
          <w:lang w:val="en-GB"/>
        </w:rPr>
        <w:t xml:space="preserve"> </w:t>
      </w:r>
      <w:r w:rsidRPr="00AF0CE3">
        <w:rPr>
          <w:sz w:val="24"/>
          <w:szCs w:val="24"/>
          <w:lang w:val="en-GB"/>
        </w:rPr>
        <w:t>income</w:t>
      </w:r>
      <w:r w:rsidR="00243A0B">
        <w:rPr>
          <w:sz w:val="24"/>
          <w:szCs w:val="24"/>
          <w:lang w:val="en-GB"/>
        </w:rPr>
        <w:t xml:space="preserve"> level</w:t>
      </w:r>
      <w:r w:rsidR="00067EA7">
        <w:rPr>
          <w:sz w:val="24"/>
          <w:szCs w:val="24"/>
          <w:lang w:val="en-GB"/>
        </w:rPr>
        <w:t>s</w:t>
      </w:r>
      <w:r w:rsidRPr="00AF0CE3">
        <w:rPr>
          <w:sz w:val="24"/>
          <w:szCs w:val="24"/>
          <w:lang w:val="en-GB"/>
        </w:rPr>
        <w:t xml:space="preserve">. Chauvel </w:t>
      </w:r>
      <w:r w:rsidR="00AF18FC">
        <w:rPr>
          <w:sz w:val="24"/>
          <w:szCs w:val="24"/>
          <w:lang w:val="en-GB"/>
        </w:rPr>
        <w:t>(</w:t>
      </w:r>
      <w:r w:rsidRPr="00AF0CE3">
        <w:rPr>
          <w:sz w:val="24"/>
          <w:szCs w:val="24"/>
          <w:lang w:val="en-GB"/>
        </w:rPr>
        <w:t>2016)</w:t>
      </w:r>
      <w:r w:rsidR="00AF18FC">
        <w:rPr>
          <w:sz w:val="24"/>
          <w:szCs w:val="24"/>
          <w:lang w:val="en-GB"/>
        </w:rPr>
        <w:t xml:space="preserve"> shows</w:t>
      </w:r>
      <w:r w:rsidRPr="00AF0CE3">
        <w:rPr>
          <w:sz w:val="24"/>
          <w:szCs w:val="24"/>
          <w:lang w:val="en-GB"/>
        </w:rPr>
        <w:t xml:space="preserve"> that ISO provides the level of inequality for this </w:t>
      </w:r>
      <w:r w:rsidR="007B140D">
        <w:rPr>
          <w:sz w:val="24"/>
          <w:szCs w:val="24"/>
          <w:lang w:val="en-GB"/>
        </w:rPr>
        <w:t xml:space="preserve">percentile </w:t>
      </w:r>
      <w:r w:rsidRPr="00AF0CE3">
        <w:rPr>
          <w:sz w:val="24"/>
          <w:szCs w:val="24"/>
          <w:lang w:val="en-GB"/>
        </w:rPr>
        <w:t>level X. The isograph depicts the ISO</w:t>
      </w:r>
      <w:r w:rsidRPr="00243A0B">
        <w:rPr>
          <w:sz w:val="24"/>
          <w:szCs w:val="24"/>
          <w:vertAlign w:val="subscript"/>
          <w:lang w:val="en-GB"/>
        </w:rPr>
        <w:t>i</w:t>
      </w:r>
      <w:r w:rsidRPr="00AF0CE3">
        <w:rPr>
          <w:sz w:val="24"/>
          <w:szCs w:val="24"/>
          <w:lang w:val="en-GB"/>
        </w:rPr>
        <w:t xml:space="preserve"> for all the ranks of the social order, </w:t>
      </w:r>
      <w:r w:rsidR="00C079BA">
        <w:rPr>
          <w:sz w:val="24"/>
          <w:szCs w:val="24"/>
          <w:lang w:val="en-GB"/>
        </w:rPr>
        <w:t>here</w:t>
      </w:r>
      <w:r w:rsidRPr="00AF0CE3">
        <w:rPr>
          <w:sz w:val="24"/>
          <w:szCs w:val="24"/>
          <w:lang w:val="en-GB"/>
        </w:rPr>
        <w:t xml:space="preserve"> income </w:t>
      </w:r>
      <w:r w:rsidR="007B140D">
        <w:rPr>
          <w:sz w:val="24"/>
          <w:szCs w:val="24"/>
          <w:lang w:val="en-GB"/>
        </w:rPr>
        <w:t>percentiles</w:t>
      </w:r>
      <w:r w:rsidRPr="00AF0CE3">
        <w:rPr>
          <w:sz w:val="24"/>
          <w:szCs w:val="24"/>
          <w:lang w:val="en-GB"/>
        </w:rPr>
        <w:t xml:space="preserve">. In the isograph, X is the horizontal axis and ISO=Y/X the vertical one: the isograph is higher at a given income percentile X when inequality increases at this level. The values of ISO are </w:t>
      </w:r>
      <w:r w:rsidR="002B6C2A">
        <w:rPr>
          <w:sz w:val="24"/>
          <w:szCs w:val="24"/>
          <w:lang w:val="en-GB"/>
        </w:rPr>
        <w:t>analogous</w:t>
      </w:r>
      <w:r w:rsidR="002B6C2A" w:rsidRPr="00AF0CE3">
        <w:rPr>
          <w:sz w:val="24"/>
          <w:szCs w:val="24"/>
          <w:lang w:val="en-GB"/>
        </w:rPr>
        <w:t xml:space="preserve"> </w:t>
      </w:r>
      <w:r w:rsidRPr="00AF0CE3">
        <w:rPr>
          <w:sz w:val="24"/>
          <w:szCs w:val="24"/>
          <w:lang w:val="en-GB"/>
        </w:rPr>
        <w:t>to the Gini index of the distribution. When ISO is a constant, the value of ISO is the Gini index of the distribution</w:t>
      </w:r>
      <w:r w:rsidR="007440C9" w:rsidRPr="00AF0CE3">
        <w:rPr>
          <w:sz w:val="24"/>
          <w:szCs w:val="24"/>
          <w:lang w:val="en-GB"/>
        </w:rPr>
        <w:t xml:space="preserve"> </w:t>
      </w:r>
      <w:r w:rsidR="00E17890" w:rsidRPr="00AF0CE3">
        <w:rPr>
          <w:sz w:val="24"/>
          <w:szCs w:val="24"/>
          <w:lang w:val="en-GB"/>
        </w:rPr>
        <w:t>(Dagum, 1977, 2006)</w:t>
      </w:r>
      <w:r w:rsidRPr="00AF0CE3">
        <w:rPr>
          <w:sz w:val="24"/>
          <w:szCs w:val="24"/>
          <w:lang w:val="en-GB"/>
        </w:rPr>
        <w:t xml:space="preserve">. </w:t>
      </w:r>
    </w:p>
    <w:p w14:paraId="4AE60B84" w14:textId="64C4066E" w:rsidR="007440C9" w:rsidRPr="00AF0CE3" w:rsidRDefault="00B666D2" w:rsidP="001505F1">
      <w:pPr>
        <w:spacing w:line="480" w:lineRule="auto"/>
        <w:jc w:val="both"/>
        <w:rPr>
          <w:sz w:val="24"/>
          <w:szCs w:val="24"/>
          <w:lang w:val="en-GB"/>
        </w:rPr>
      </w:pPr>
      <w:r w:rsidRPr="00AF0CE3">
        <w:rPr>
          <w:sz w:val="24"/>
          <w:szCs w:val="24"/>
          <w:lang w:val="en-GB"/>
        </w:rPr>
        <w:t xml:space="preserve">This tool is able to detect where the income distribution </w:t>
      </w:r>
      <w:r w:rsidR="00AF30C1" w:rsidRPr="00AF0CE3">
        <w:rPr>
          <w:sz w:val="24"/>
          <w:szCs w:val="24"/>
          <w:lang w:val="en-GB"/>
        </w:rPr>
        <w:t>stretches</w:t>
      </w:r>
      <w:r w:rsidRPr="00AF0CE3">
        <w:rPr>
          <w:sz w:val="24"/>
          <w:szCs w:val="24"/>
          <w:lang w:val="en-GB"/>
        </w:rPr>
        <w:t xml:space="preserve"> </w:t>
      </w:r>
      <w:r w:rsidR="007B140D">
        <w:rPr>
          <w:sz w:val="24"/>
          <w:szCs w:val="24"/>
          <w:lang w:val="en-GB"/>
        </w:rPr>
        <w:t>and has</w:t>
      </w:r>
      <w:r w:rsidR="007B140D" w:rsidRPr="00AF0CE3">
        <w:rPr>
          <w:sz w:val="24"/>
          <w:szCs w:val="24"/>
          <w:lang w:val="en-GB"/>
        </w:rPr>
        <w:t xml:space="preserve"> </w:t>
      </w:r>
      <w:r w:rsidRPr="00AF0CE3">
        <w:rPr>
          <w:sz w:val="24"/>
          <w:szCs w:val="24"/>
          <w:lang w:val="en-GB"/>
        </w:rPr>
        <w:t xml:space="preserve">higher income gaps between percentile levels. </w:t>
      </w:r>
      <w:r w:rsidR="00E5405C">
        <w:rPr>
          <w:sz w:val="24"/>
          <w:szCs w:val="24"/>
          <w:lang w:val="en-GB"/>
        </w:rPr>
        <w:t>Put</w:t>
      </w:r>
      <w:r w:rsidR="00E5405C" w:rsidRPr="00AF0CE3">
        <w:rPr>
          <w:sz w:val="24"/>
          <w:szCs w:val="24"/>
          <w:lang w:val="en-GB"/>
        </w:rPr>
        <w:t xml:space="preserve"> </w:t>
      </w:r>
      <w:r w:rsidR="007440C9" w:rsidRPr="00AF0CE3">
        <w:rPr>
          <w:sz w:val="24"/>
          <w:szCs w:val="24"/>
          <w:lang w:val="en-GB"/>
        </w:rPr>
        <w:t>simply, the higher the isograph at such logitrank level X of the distribution, the larger the gaps between the percentiles near p=logit</w:t>
      </w:r>
      <w:r w:rsidR="00DD501E" w:rsidRPr="001505F1">
        <w:rPr>
          <w:sz w:val="24"/>
          <w:szCs w:val="24"/>
          <w:vertAlign w:val="superscript"/>
          <w:lang w:val="en-GB"/>
        </w:rPr>
        <w:t>-1</w:t>
      </w:r>
      <w:r w:rsidR="007440C9" w:rsidRPr="00AF0CE3">
        <w:rPr>
          <w:sz w:val="24"/>
          <w:szCs w:val="24"/>
          <w:lang w:val="en-GB"/>
        </w:rPr>
        <w:t xml:space="preserve">(X). </w:t>
      </w:r>
    </w:p>
    <w:p w14:paraId="5A8FD637" w14:textId="77777777" w:rsidR="008A7A77" w:rsidRDefault="008A7A77">
      <w:pPr>
        <w:rPr>
          <w:b/>
          <w:bCs/>
          <w:sz w:val="24"/>
          <w:szCs w:val="24"/>
          <w:lang w:val="en-GB"/>
        </w:rPr>
      </w:pPr>
      <w:r>
        <w:rPr>
          <w:b/>
          <w:bCs/>
          <w:sz w:val="24"/>
          <w:szCs w:val="24"/>
          <w:lang w:val="en-GB"/>
        </w:rPr>
        <w:br w:type="page"/>
      </w:r>
    </w:p>
    <w:p w14:paraId="267B8B00" w14:textId="6FACFDC1" w:rsidR="00B153AB" w:rsidRPr="00AF0CE3" w:rsidRDefault="00B153AB" w:rsidP="00AF0CE3">
      <w:pPr>
        <w:pStyle w:val="ListParagraph"/>
        <w:numPr>
          <w:ilvl w:val="0"/>
          <w:numId w:val="5"/>
        </w:numPr>
        <w:spacing w:after="120" w:line="480" w:lineRule="auto"/>
        <w:jc w:val="both"/>
        <w:rPr>
          <w:b/>
          <w:bCs/>
          <w:sz w:val="24"/>
          <w:szCs w:val="24"/>
          <w:lang w:val="en-GB"/>
        </w:rPr>
      </w:pPr>
      <w:r w:rsidRPr="00AF0CE3">
        <w:rPr>
          <w:b/>
          <w:bCs/>
          <w:sz w:val="24"/>
          <w:szCs w:val="24"/>
          <w:lang w:val="en-GB"/>
        </w:rPr>
        <w:lastRenderedPageBreak/>
        <w:t>Data</w:t>
      </w:r>
      <w:r w:rsidR="00AC7C49">
        <w:rPr>
          <w:b/>
          <w:bCs/>
          <w:sz w:val="24"/>
          <w:szCs w:val="24"/>
          <w:lang w:val="en-GB"/>
        </w:rPr>
        <w:t xml:space="preserve"> and variables</w:t>
      </w:r>
    </w:p>
    <w:p w14:paraId="7F4A4807" w14:textId="77777777" w:rsidR="002B6C2A" w:rsidRPr="001505F1" w:rsidRDefault="002B6C2A" w:rsidP="00AC56B9">
      <w:pPr>
        <w:spacing w:after="120" w:line="480" w:lineRule="auto"/>
        <w:jc w:val="both"/>
        <w:rPr>
          <w:i/>
          <w:sz w:val="24"/>
          <w:szCs w:val="24"/>
          <w:lang w:val="en-GB"/>
        </w:rPr>
      </w:pPr>
      <w:r w:rsidRPr="001505F1">
        <w:rPr>
          <w:i/>
          <w:sz w:val="24"/>
          <w:szCs w:val="24"/>
          <w:lang w:val="en-GB"/>
        </w:rPr>
        <w:t xml:space="preserve">Data </w:t>
      </w:r>
    </w:p>
    <w:p w14:paraId="6C903CD0" w14:textId="4E506475" w:rsidR="00816E8C" w:rsidRDefault="007B140D" w:rsidP="00AC56B9">
      <w:pPr>
        <w:spacing w:after="120" w:line="480" w:lineRule="auto"/>
        <w:jc w:val="both"/>
        <w:rPr>
          <w:sz w:val="24"/>
          <w:szCs w:val="28"/>
          <w:lang w:val="en-US"/>
        </w:rPr>
      </w:pPr>
      <w:r>
        <w:rPr>
          <w:sz w:val="24"/>
          <w:szCs w:val="24"/>
          <w:lang w:val="en-GB"/>
        </w:rPr>
        <w:t>We use the</w:t>
      </w:r>
      <w:r w:rsidR="005D0527">
        <w:rPr>
          <w:sz w:val="24"/>
          <w:szCs w:val="24"/>
          <w:lang w:val="en-GB"/>
        </w:rPr>
        <w:t xml:space="preserve"> harmonised datasets</w:t>
      </w:r>
      <w:r>
        <w:rPr>
          <w:sz w:val="24"/>
          <w:szCs w:val="24"/>
          <w:lang w:val="en-GB"/>
        </w:rPr>
        <w:t xml:space="preserve"> of the Luxembourg Wealth Study</w:t>
      </w:r>
      <w:r w:rsidRPr="007B140D">
        <w:rPr>
          <w:sz w:val="24"/>
          <w:szCs w:val="24"/>
          <w:lang w:val="en-GB"/>
        </w:rPr>
        <w:t xml:space="preserve"> </w:t>
      </w:r>
      <w:r w:rsidR="006E0D93">
        <w:rPr>
          <w:sz w:val="24"/>
          <w:szCs w:val="24"/>
          <w:lang w:val="en-GB"/>
        </w:rPr>
        <w:t xml:space="preserve">(LWS) </w:t>
      </w:r>
      <w:r>
        <w:rPr>
          <w:sz w:val="24"/>
          <w:szCs w:val="24"/>
          <w:lang w:val="en-GB"/>
        </w:rPr>
        <w:t>for the US 1995 to 2013, based on the</w:t>
      </w:r>
      <w:r w:rsidR="005D0527">
        <w:rPr>
          <w:sz w:val="24"/>
          <w:szCs w:val="24"/>
          <w:lang w:val="en-GB"/>
        </w:rPr>
        <w:t xml:space="preserve"> </w:t>
      </w:r>
      <w:r w:rsidR="005D0527">
        <w:rPr>
          <w:sz w:val="24"/>
          <w:szCs w:val="28"/>
          <w:lang w:val="en-US"/>
        </w:rPr>
        <w:t>S</w:t>
      </w:r>
      <w:r w:rsidR="005D0527" w:rsidRPr="00B37C34">
        <w:rPr>
          <w:sz w:val="24"/>
          <w:szCs w:val="28"/>
          <w:lang w:val="en-US"/>
        </w:rPr>
        <w:t xml:space="preserve">urvey </w:t>
      </w:r>
      <w:r w:rsidR="005D0527">
        <w:rPr>
          <w:sz w:val="24"/>
          <w:szCs w:val="28"/>
          <w:lang w:val="en-US"/>
        </w:rPr>
        <w:t>o</w:t>
      </w:r>
      <w:r w:rsidR="005D0527" w:rsidRPr="00B37C34">
        <w:rPr>
          <w:sz w:val="24"/>
          <w:szCs w:val="28"/>
          <w:lang w:val="en-US"/>
        </w:rPr>
        <w:t xml:space="preserve">f </w:t>
      </w:r>
      <w:r w:rsidR="005D0527">
        <w:rPr>
          <w:sz w:val="24"/>
          <w:szCs w:val="28"/>
          <w:lang w:val="en-US"/>
        </w:rPr>
        <w:t>C</w:t>
      </w:r>
      <w:r w:rsidR="005D0527" w:rsidRPr="00B37C34">
        <w:rPr>
          <w:sz w:val="24"/>
          <w:szCs w:val="28"/>
          <w:lang w:val="en-US"/>
        </w:rPr>
        <w:t xml:space="preserve">onsumer </w:t>
      </w:r>
      <w:r w:rsidR="005D0527">
        <w:rPr>
          <w:sz w:val="24"/>
          <w:szCs w:val="28"/>
          <w:lang w:val="en-US"/>
        </w:rPr>
        <w:t>F</w:t>
      </w:r>
      <w:r w:rsidR="005D0527" w:rsidRPr="00B37C34">
        <w:rPr>
          <w:sz w:val="24"/>
          <w:szCs w:val="28"/>
          <w:lang w:val="en-US"/>
        </w:rPr>
        <w:t xml:space="preserve">inances </w:t>
      </w:r>
      <w:r w:rsidR="005D0527">
        <w:rPr>
          <w:sz w:val="24"/>
          <w:szCs w:val="28"/>
          <w:lang w:val="en-US"/>
        </w:rPr>
        <w:t>(SCF)</w:t>
      </w:r>
      <w:r w:rsidR="002B6C2A">
        <w:rPr>
          <w:sz w:val="24"/>
          <w:szCs w:val="28"/>
          <w:lang w:val="en-US"/>
        </w:rPr>
        <w:t>.</w:t>
      </w:r>
      <w:r w:rsidR="005D0527">
        <w:rPr>
          <w:sz w:val="24"/>
          <w:szCs w:val="28"/>
          <w:lang w:val="en-US"/>
        </w:rPr>
        <w:t xml:space="preserve"> The data contain</w:t>
      </w:r>
      <w:r w:rsidR="002B6C2A">
        <w:rPr>
          <w:sz w:val="24"/>
          <w:szCs w:val="28"/>
          <w:lang w:val="en-US"/>
        </w:rPr>
        <w:t xml:space="preserve"> </w:t>
      </w:r>
      <w:r w:rsidR="006E0D93">
        <w:rPr>
          <w:sz w:val="24"/>
          <w:szCs w:val="28"/>
          <w:lang w:val="en-US"/>
        </w:rPr>
        <w:t xml:space="preserve">detailed </w:t>
      </w:r>
      <w:r w:rsidR="005D0527">
        <w:rPr>
          <w:sz w:val="24"/>
          <w:szCs w:val="28"/>
          <w:lang w:val="en-US"/>
        </w:rPr>
        <w:t xml:space="preserve">information regarding income and wealth of </w:t>
      </w:r>
      <w:r w:rsidR="006E0D93">
        <w:rPr>
          <w:sz w:val="24"/>
          <w:szCs w:val="28"/>
          <w:lang w:val="en-US"/>
        </w:rPr>
        <w:t>U.S. households</w:t>
      </w:r>
      <w:r w:rsidR="002B6C2A">
        <w:rPr>
          <w:sz w:val="24"/>
          <w:szCs w:val="28"/>
          <w:lang w:val="en-US"/>
        </w:rPr>
        <w:t xml:space="preserve"> and oversample </w:t>
      </w:r>
      <w:r w:rsidR="006234A4">
        <w:rPr>
          <w:sz w:val="24"/>
          <w:szCs w:val="28"/>
          <w:lang w:val="en-US"/>
        </w:rPr>
        <w:t>wealthy households</w:t>
      </w:r>
      <w:r w:rsidR="00E957B1">
        <w:rPr>
          <w:sz w:val="24"/>
          <w:szCs w:val="28"/>
          <w:lang w:val="en-US"/>
        </w:rPr>
        <w:t xml:space="preserve"> to provide better coverage of the top of the distribution</w:t>
      </w:r>
      <w:r w:rsidR="006234A4" w:rsidRPr="009A1147">
        <w:rPr>
          <w:sz w:val="24"/>
          <w:szCs w:val="28"/>
          <w:lang w:val="en-US"/>
        </w:rPr>
        <w:t xml:space="preserve">. </w:t>
      </w:r>
      <w:r w:rsidRPr="009A1147">
        <w:rPr>
          <w:sz w:val="24"/>
          <w:szCs w:val="28"/>
          <w:lang w:val="en-US"/>
        </w:rPr>
        <w:t xml:space="preserve">See </w:t>
      </w:r>
      <w:r w:rsidRPr="00AC56B9">
        <w:rPr>
          <w:sz w:val="24"/>
          <w:szCs w:val="28"/>
          <w:lang w:val="en-US" w:bidi="he-IL"/>
        </w:rPr>
        <w:t>Wolff (2016)</w:t>
      </w:r>
      <w:r w:rsidRPr="009A1147">
        <w:rPr>
          <w:sz w:val="24"/>
          <w:szCs w:val="28"/>
          <w:lang w:val="en-US" w:bidi="he-IL"/>
        </w:rPr>
        <w:t xml:space="preserve"> for</w:t>
      </w:r>
      <w:r>
        <w:rPr>
          <w:sz w:val="24"/>
          <w:szCs w:val="28"/>
          <w:lang w:val="en-US" w:bidi="he-IL"/>
        </w:rPr>
        <w:t xml:space="preserve"> a more detailed description of the data source. </w:t>
      </w:r>
    </w:p>
    <w:p w14:paraId="0FF261BA" w14:textId="77777777" w:rsidR="00CD146D" w:rsidRDefault="00CD146D" w:rsidP="00AC56B9">
      <w:pPr>
        <w:spacing w:after="120" w:line="480" w:lineRule="auto"/>
        <w:jc w:val="both"/>
        <w:rPr>
          <w:sz w:val="24"/>
          <w:szCs w:val="28"/>
          <w:lang w:val="en-US"/>
        </w:rPr>
      </w:pPr>
    </w:p>
    <w:p w14:paraId="7479F224" w14:textId="77777777" w:rsidR="00D369CA" w:rsidRPr="00DD0D8A" w:rsidRDefault="00D369CA" w:rsidP="005B59D0">
      <w:pPr>
        <w:spacing w:after="120" w:line="480" w:lineRule="auto"/>
        <w:jc w:val="both"/>
        <w:outlineLvl w:val="0"/>
        <w:rPr>
          <w:i/>
          <w:sz w:val="24"/>
          <w:szCs w:val="28"/>
          <w:lang w:val="en-US" w:bidi="he-IL"/>
        </w:rPr>
      </w:pPr>
      <w:r w:rsidRPr="00DD0D8A">
        <w:rPr>
          <w:i/>
          <w:sz w:val="24"/>
          <w:szCs w:val="28"/>
          <w:lang w:val="en-US"/>
        </w:rPr>
        <w:t>V</w:t>
      </w:r>
      <w:r w:rsidRPr="00DD0D8A">
        <w:rPr>
          <w:i/>
          <w:sz w:val="24"/>
          <w:szCs w:val="28"/>
          <w:lang w:val="en-US" w:bidi="he-IL"/>
        </w:rPr>
        <w:t>ariables</w:t>
      </w:r>
    </w:p>
    <w:p w14:paraId="054B5594" w14:textId="21B557A3" w:rsidR="00AF0CE3" w:rsidRDefault="00D535F4" w:rsidP="00AF0CE3">
      <w:pPr>
        <w:spacing w:after="120" w:line="480" w:lineRule="auto"/>
        <w:jc w:val="both"/>
        <w:rPr>
          <w:sz w:val="24"/>
          <w:szCs w:val="28"/>
          <w:lang w:val="en-US" w:bidi="he-IL"/>
        </w:rPr>
      </w:pPr>
      <w:r>
        <w:rPr>
          <w:sz w:val="24"/>
          <w:szCs w:val="28"/>
          <w:lang w:val="en-US" w:bidi="he-IL"/>
        </w:rPr>
        <w:t>W</w:t>
      </w:r>
      <w:r w:rsidR="005F6DE4">
        <w:rPr>
          <w:sz w:val="24"/>
          <w:szCs w:val="28"/>
          <w:lang w:val="en-US" w:bidi="he-IL"/>
        </w:rPr>
        <w:t xml:space="preserve">e regard </w:t>
      </w:r>
      <w:r w:rsidR="005F6DE4" w:rsidRPr="00DD0D8A">
        <w:rPr>
          <w:i/>
          <w:sz w:val="24"/>
          <w:szCs w:val="28"/>
          <w:lang w:val="en-US" w:bidi="he-IL"/>
        </w:rPr>
        <w:t>income</w:t>
      </w:r>
      <w:r w:rsidR="005F6DE4">
        <w:rPr>
          <w:sz w:val="24"/>
          <w:szCs w:val="28"/>
          <w:lang w:val="en-US" w:bidi="he-IL"/>
        </w:rPr>
        <w:t xml:space="preserve"> as the disposable</w:t>
      </w:r>
      <w:r w:rsidR="00E957B1">
        <w:rPr>
          <w:sz w:val="24"/>
          <w:szCs w:val="28"/>
          <w:lang w:val="en-US" w:bidi="he-IL"/>
        </w:rPr>
        <w:t xml:space="preserve"> household</w:t>
      </w:r>
      <w:r w:rsidR="005F6DE4">
        <w:rPr>
          <w:sz w:val="24"/>
          <w:szCs w:val="28"/>
          <w:lang w:val="en-US" w:bidi="he-IL"/>
        </w:rPr>
        <w:t xml:space="preserve"> income</w:t>
      </w:r>
      <w:r w:rsidR="00E957B1">
        <w:rPr>
          <w:sz w:val="24"/>
          <w:szCs w:val="28"/>
          <w:lang w:val="en-US" w:bidi="he-IL"/>
        </w:rPr>
        <w:t xml:space="preserve"> (after tax and transfers)</w:t>
      </w:r>
      <w:r w:rsidR="005F6DE4">
        <w:rPr>
          <w:sz w:val="24"/>
          <w:szCs w:val="28"/>
          <w:lang w:val="en-US" w:bidi="he-IL"/>
        </w:rPr>
        <w:t xml:space="preserve"> </w:t>
      </w:r>
      <w:r w:rsidR="00E957B1">
        <w:rPr>
          <w:sz w:val="24"/>
          <w:szCs w:val="28"/>
          <w:lang w:val="en-US" w:bidi="he-IL"/>
        </w:rPr>
        <w:t xml:space="preserve">per single-adult equivalent </w:t>
      </w:r>
      <w:r w:rsidR="005F6DE4">
        <w:rPr>
          <w:sz w:val="24"/>
          <w:szCs w:val="28"/>
          <w:lang w:val="en-US" w:bidi="he-IL"/>
        </w:rPr>
        <w:t>(</w:t>
      </w:r>
      <w:r w:rsidR="00E957B1">
        <w:rPr>
          <w:sz w:val="24"/>
          <w:szCs w:val="28"/>
          <w:lang w:val="en-US" w:bidi="he-IL"/>
        </w:rPr>
        <w:t xml:space="preserve">divided by the </w:t>
      </w:r>
      <w:r w:rsidR="00883D64">
        <w:rPr>
          <w:sz w:val="24"/>
          <w:szCs w:val="28"/>
          <w:lang w:val="en-US" w:bidi="he-IL"/>
        </w:rPr>
        <w:t>square root of the size of the household</w:t>
      </w:r>
      <w:r w:rsidR="00E957B1">
        <w:rPr>
          <w:sz w:val="24"/>
          <w:szCs w:val="28"/>
          <w:lang w:val="en-US" w:bidi="he-IL"/>
        </w:rPr>
        <w:t>)</w:t>
      </w:r>
      <w:r w:rsidR="00E450FE">
        <w:rPr>
          <w:sz w:val="24"/>
          <w:szCs w:val="28"/>
          <w:lang w:val="en-US" w:bidi="he-IL"/>
        </w:rPr>
        <w:t xml:space="preserve">. </w:t>
      </w:r>
      <w:r w:rsidR="00883D64">
        <w:rPr>
          <w:sz w:val="24"/>
          <w:szCs w:val="28"/>
          <w:lang w:val="en-US" w:bidi="he-IL"/>
        </w:rPr>
        <w:t xml:space="preserve">Compared to other sources such as LIS, Gini indices of income inequality are higher here </w:t>
      </w:r>
      <w:r w:rsidR="00E450FE">
        <w:rPr>
          <w:sz w:val="24"/>
          <w:szCs w:val="28"/>
          <w:lang w:val="en-US" w:bidi="he-IL"/>
        </w:rPr>
        <w:t xml:space="preserve">not only because of better coverage of top incomes, but </w:t>
      </w:r>
      <w:r w:rsidR="00883D64">
        <w:rPr>
          <w:sz w:val="24"/>
          <w:szCs w:val="28"/>
          <w:lang w:val="en-US" w:bidi="he-IL"/>
        </w:rPr>
        <w:t>since social redistributions are underestimated</w:t>
      </w:r>
      <w:r w:rsidR="00E450FE">
        <w:rPr>
          <w:sz w:val="24"/>
          <w:szCs w:val="28"/>
          <w:lang w:val="en-US" w:bidi="he-IL"/>
        </w:rPr>
        <w:t xml:space="preserve"> in the </w:t>
      </w:r>
      <w:r w:rsidR="005B59D0">
        <w:rPr>
          <w:sz w:val="24"/>
          <w:szCs w:val="28"/>
          <w:lang w:val="en-US" w:bidi="he-IL"/>
        </w:rPr>
        <w:t>LWS</w:t>
      </w:r>
      <w:r w:rsidR="00CB70C9">
        <w:rPr>
          <w:sz w:val="24"/>
          <w:szCs w:val="28"/>
          <w:lang w:val="en-US" w:bidi="he-IL"/>
        </w:rPr>
        <w:t xml:space="preserve">: the Gini of the American equivalized disposable income near to 2010 is typically close to .37 in </w:t>
      </w:r>
      <w:r w:rsidR="00644F73">
        <w:rPr>
          <w:sz w:val="24"/>
          <w:szCs w:val="28"/>
          <w:lang w:val="en-US" w:bidi="he-IL"/>
        </w:rPr>
        <w:t xml:space="preserve">the US </w:t>
      </w:r>
      <w:r w:rsidR="00CB70C9">
        <w:rPr>
          <w:sz w:val="24"/>
          <w:szCs w:val="28"/>
          <w:lang w:val="en-US" w:bidi="he-IL"/>
        </w:rPr>
        <w:t xml:space="preserve">LIS </w:t>
      </w:r>
      <w:r w:rsidR="00644F73">
        <w:rPr>
          <w:sz w:val="24"/>
          <w:szCs w:val="28"/>
          <w:lang w:val="en-US" w:bidi="he-IL"/>
        </w:rPr>
        <w:t xml:space="preserve">series </w:t>
      </w:r>
      <w:r w:rsidR="00CB70C9">
        <w:rPr>
          <w:sz w:val="24"/>
          <w:szCs w:val="28"/>
          <w:lang w:val="en-US" w:bidi="he-IL"/>
        </w:rPr>
        <w:t xml:space="preserve">and above .45 </w:t>
      </w:r>
      <w:r w:rsidR="00644F73">
        <w:rPr>
          <w:sz w:val="24"/>
          <w:szCs w:val="28"/>
          <w:lang w:val="en-US" w:bidi="he-IL"/>
        </w:rPr>
        <w:t xml:space="preserve">for the US </w:t>
      </w:r>
      <w:r w:rsidR="00CB70C9">
        <w:rPr>
          <w:sz w:val="24"/>
          <w:szCs w:val="28"/>
          <w:lang w:val="en-US" w:bidi="he-IL"/>
        </w:rPr>
        <w:t>LWS</w:t>
      </w:r>
      <w:r w:rsidR="0049049A">
        <w:rPr>
          <w:sz w:val="24"/>
          <w:szCs w:val="28"/>
          <w:lang w:val="en-US" w:bidi="he-IL"/>
        </w:rPr>
        <w:t>. A part of this gap comes for underestimations of tax and transfers redistributions in LWS compared to LIS</w:t>
      </w:r>
      <w:r w:rsidR="00E957B1">
        <w:rPr>
          <w:sz w:val="24"/>
          <w:szCs w:val="28"/>
          <w:lang w:val="en-US" w:bidi="he-IL"/>
        </w:rPr>
        <w:t xml:space="preserve">. </w:t>
      </w:r>
    </w:p>
    <w:p w14:paraId="361EC40A" w14:textId="086DF930" w:rsidR="00E450FE" w:rsidRDefault="00E450FE" w:rsidP="00226E94">
      <w:pPr>
        <w:spacing w:after="120" w:line="480" w:lineRule="auto"/>
        <w:jc w:val="both"/>
        <w:rPr>
          <w:sz w:val="24"/>
          <w:szCs w:val="28"/>
          <w:lang w:val="en-US" w:bidi="he-IL"/>
        </w:rPr>
      </w:pPr>
      <w:r>
        <w:rPr>
          <w:sz w:val="24"/>
          <w:szCs w:val="28"/>
          <w:lang w:val="en-US" w:bidi="he-IL"/>
        </w:rPr>
        <w:t xml:space="preserve">The </w:t>
      </w:r>
      <w:r w:rsidRPr="00DD0D8A">
        <w:rPr>
          <w:i/>
          <w:sz w:val="24"/>
          <w:szCs w:val="28"/>
          <w:lang w:val="en-US" w:bidi="he-IL"/>
        </w:rPr>
        <w:t>wealth</w:t>
      </w:r>
      <w:r>
        <w:rPr>
          <w:sz w:val="24"/>
          <w:szCs w:val="28"/>
          <w:lang w:val="en-US" w:bidi="he-IL"/>
        </w:rPr>
        <w:t xml:space="preserve"> variable is the </w:t>
      </w:r>
      <w:r w:rsidRPr="00E450FE">
        <w:rPr>
          <w:sz w:val="24"/>
          <w:szCs w:val="28"/>
          <w:lang w:val="en-US" w:bidi="he-IL"/>
        </w:rPr>
        <w:t xml:space="preserve">current value of </w:t>
      </w:r>
      <w:r>
        <w:rPr>
          <w:sz w:val="24"/>
          <w:szCs w:val="28"/>
          <w:lang w:val="en-US" w:bidi="he-IL"/>
        </w:rPr>
        <w:t xml:space="preserve">total </w:t>
      </w:r>
      <w:r w:rsidRPr="00E450FE">
        <w:rPr>
          <w:sz w:val="24"/>
          <w:szCs w:val="28"/>
          <w:lang w:val="en-US" w:bidi="he-IL"/>
        </w:rPr>
        <w:t>marketable</w:t>
      </w:r>
      <w:r>
        <w:rPr>
          <w:sz w:val="24"/>
          <w:szCs w:val="28"/>
          <w:lang w:val="en-US" w:bidi="he-IL"/>
        </w:rPr>
        <w:t xml:space="preserve"> </w:t>
      </w:r>
      <w:r w:rsidRPr="00E450FE">
        <w:rPr>
          <w:sz w:val="24"/>
          <w:szCs w:val="28"/>
          <w:lang w:val="en-US" w:bidi="he-IL"/>
        </w:rPr>
        <w:t>wealth</w:t>
      </w:r>
      <w:r>
        <w:rPr>
          <w:sz w:val="24"/>
          <w:szCs w:val="28"/>
          <w:lang w:val="en-US" w:bidi="he-IL"/>
        </w:rPr>
        <w:t xml:space="preserve"> and</w:t>
      </w:r>
      <w:r w:rsidRPr="00E450FE">
        <w:rPr>
          <w:sz w:val="24"/>
          <w:szCs w:val="28"/>
          <w:lang w:val="en-US" w:bidi="he-IL"/>
        </w:rPr>
        <w:t xml:space="preserve"> assets</w:t>
      </w:r>
      <w:r>
        <w:rPr>
          <w:sz w:val="24"/>
          <w:szCs w:val="28"/>
          <w:lang w:val="en-US" w:bidi="he-IL"/>
        </w:rPr>
        <w:t>, net of debt</w:t>
      </w:r>
      <w:r w:rsidR="002A0B19">
        <w:rPr>
          <w:sz w:val="24"/>
          <w:szCs w:val="28"/>
          <w:lang w:val="en-US" w:bidi="he-IL"/>
        </w:rPr>
        <w:t xml:space="preserve"> </w:t>
      </w:r>
      <w:r w:rsidR="002A0B19" w:rsidRPr="00243A0B">
        <w:rPr>
          <w:sz w:val="24"/>
          <w:lang w:val="en-US"/>
        </w:rPr>
        <w:t>(Kennickell</w:t>
      </w:r>
      <w:r w:rsidR="003D55BE">
        <w:rPr>
          <w:sz w:val="24"/>
          <w:lang w:val="en-US"/>
        </w:rPr>
        <w:t xml:space="preserve"> et al.</w:t>
      </w:r>
      <w:r w:rsidR="002A0B19" w:rsidRPr="00243A0B">
        <w:rPr>
          <w:sz w:val="24"/>
          <w:lang w:val="en-US"/>
        </w:rPr>
        <w:t>, 2000)</w:t>
      </w:r>
      <w:r>
        <w:rPr>
          <w:sz w:val="24"/>
          <w:szCs w:val="28"/>
          <w:lang w:val="en-US" w:bidi="he-IL"/>
        </w:rPr>
        <w:t xml:space="preserve">. </w:t>
      </w:r>
      <w:r w:rsidR="001632D6">
        <w:rPr>
          <w:sz w:val="24"/>
          <w:szCs w:val="28"/>
          <w:lang w:val="en-US" w:bidi="he-IL"/>
        </w:rPr>
        <w:t xml:space="preserve">We follow the same definitions than the recent </w:t>
      </w:r>
      <w:r w:rsidR="00AE5379">
        <w:rPr>
          <w:sz w:val="24"/>
          <w:szCs w:val="28"/>
          <w:lang w:val="en-US" w:bidi="he-IL"/>
        </w:rPr>
        <w:t xml:space="preserve">study by </w:t>
      </w:r>
      <w:r>
        <w:rPr>
          <w:sz w:val="24"/>
          <w:szCs w:val="28"/>
          <w:lang w:val="en-US" w:bidi="he-IL"/>
        </w:rPr>
        <w:t xml:space="preserve">Wolff </w:t>
      </w:r>
      <w:r w:rsidR="001632D6">
        <w:rPr>
          <w:sz w:val="24"/>
          <w:szCs w:val="28"/>
          <w:lang w:val="en-US" w:bidi="he-IL"/>
        </w:rPr>
        <w:t xml:space="preserve">(2016), even if we do not disentangle here the different sources of wealth (housing, financial assets, etc.). </w:t>
      </w:r>
      <w:r w:rsidR="003F3784">
        <w:rPr>
          <w:sz w:val="24"/>
          <w:szCs w:val="24"/>
          <w:lang w:val="en-GB"/>
        </w:rPr>
        <w:t>We focus in the following on the upper half of the distribution, as wealth in the US is extremely low among in the lower part of the distribution.</w:t>
      </w:r>
    </w:p>
    <w:p w14:paraId="023EC2EF" w14:textId="4E06C840" w:rsidR="00AE5379" w:rsidRDefault="00AE5379" w:rsidP="001505F1">
      <w:pPr>
        <w:spacing w:line="480" w:lineRule="auto"/>
        <w:rPr>
          <w:sz w:val="24"/>
          <w:szCs w:val="24"/>
          <w:lang w:val="en-GB" w:bidi="he-IL"/>
        </w:rPr>
      </w:pPr>
    </w:p>
    <w:p w14:paraId="4B881B21" w14:textId="77777777" w:rsidR="001F60F9" w:rsidRDefault="001F60F9">
      <w:pPr>
        <w:rPr>
          <w:b/>
          <w:sz w:val="24"/>
          <w:szCs w:val="24"/>
          <w:lang w:val="en-US"/>
        </w:rPr>
      </w:pPr>
      <w:r>
        <w:rPr>
          <w:b/>
          <w:sz w:val="24"/>
          <w:szCs w:val="24"/>
          <w:lang w:val="en-US"/>
        </w:rPr>
        <w:br w:type="page"/>
      </w:r>
    </w:p>
    <w:p w14:paraId="3CC8FBAE" w14:textId="577C02E6" w:rsidR="00816E8C" w:rsidRPr="003A54AD" w:rsidRDefault="00816E8C" w:rsidP="00226E94">
      <w:pPr>
        <w:numPr>
          <w:ilvl w:val="0"/>
          <w:numId w:val="5"/>
        </w:numPr>
        <w:spacing w:after="120" w:line="480" w:lineRule="auto"/>
        <w:jc w:val="both"/>
        <w:rPr>
          <w:b/>
          <w:sz w:val="24"/>
          <w:szCs w:val="24"/>
          <w:lang w:val="en-GB"/>
        </w:rPr>
      </w:pPr>
      <w:r>
        <w:rPr>
          <w:b/>
          <w:sz w:val="24"/>
          <w:szCs w:val="24"/>
          <w:lang w:val="en-US"/>
        </w:rPr>
        <w:lastRenderedPageBreak/>
        <w:t>Results</w:t>
      </w:r>
      <w:r w:rsidR="00B153AB">
        <w:rPr>
          <w:b/>
          <w:sz w:val="24"/>
          <w:szCs w:val="24"/>
          <w:lang w:val="en-US"/>
        </w:rPr>
        <w:t xml:space="preserve">: broad increase in </w:t>
      </w:r>
      <w:r w:rsidR="006E0D93">
        <w:rPr>
          <w:b/>
          <w:sz w:val="24"/>
          <w:szCs w:val="24"/>
          <w:lang w:val="en-US"/>
        </w:rPr>
        <w:t xml:space="preserve">wealth </w:t>
      </w:r>
      <w:r w:rsidR="00B153AB">
        <w:rPr>
          <w:b/>
          <w:sz w:val="24"/>
          <w:szCs w:val="24"/>
          <w:lang w:val="en-US"/>
        </w:rPr>
        <w:t>inequality</w:t>
      </w:r>
      <w:r>
        <w:rPr>
          <w:b/>
          <w:sz w:val="24"/>
          <w:szCs w:val="24"/>
          <w:lang w:val="en-US"/>
        </w:rPr>
        <w:t xml:space="preserve"> </w:t>
      </w:r>
    </w:p>
    <w:p w14:paraId="78A1AF65" w14:textId="763B968E" w:rsidR="00166175" w:rsidRDefault="009A1147" w:rsidP="00AC56B9">
      <w:pPr>
        <w:spacing w:after="120" w:line="480" w:lineRule="auto"/>
        <w:jc w:val="both"/>
        <w:rPr>
          <w:i/>
          <w:sz w:val="24"/>
          <w:szCs w:val="24"/>
          <w:lang w:val="en-GB"/>
        </w:rPr>
      </w:pPr>
      <w:r>
        <w:rPr>
          <w:i/>
          <w:sz w:val="24"/>
          <w:szCs w:val="24"/>
          <w:lang w:val="en-GB"/>
        </w:rPr>
        <w:t xml:space="preserve">Trends of </w:t>
      </w:r>
      <w:r w:rsidR="007D671A">
        <w:rPr>
          <w:i/>
          <w:sz w:val="24"/>
          <w:szCs w:val="24"/>
          <w:lang w:val="en-GB"/>
        </w:rPr>
        <w:t xml:space="preserve">overall </w:t>
      </w:r>
      <w:r>
        <w:rPr>
          <w:i/>
          <w:sz w:val="24"/>
          <w:szCs w:val="24"/>
          <w:lang w:val="en-GB"/>
        </w:rPr>
        <w:t>wealth</w:t>
      </w:r>
      <w:r w:rsidR="006E0D93" w:rsidRPr="006E0D93">
        <w:rPr>
          <w:i/>
          <w:sz w:val="24"/>
          <w:szCs w:val="24"/>
          <w:lang w:val="en-GB"/>
        </w:rPr>
        <w:t xml:space="preserve"> </w:t>
      </w:r>
      <w:r w:rsidR="006E0D93">
        <w:rPr>
          <w:i/>
          <w:sz w:val="24"/>
          <w:szCs w:val="24"/>
          <w:lang w:val="en-GB"/>
        </w:rPr>
        <w:t>inequality</w:t>
      </w:r>
    </w:p>
    <w:p w14:paraId="00F3AF22" w14:textId="3DAF0AF1" w:rsidR="0049049A" w:rsidRDefault="00AE5379" w:rsidP="00370EA7">
      <w:pPr>
        <w:spacing w:after="120" w:line="480" w:lineRule="auto"/>
        <w:jc w:val="both"/>
        <w:rPr>
          <w:sz w:val="24"/>
          <w:szCs w:val="24"/>
          <w:lang w:val="en-GB"/>
        </w:rPr>
      </w:pPr>
      <w:r>
        <w:rPr>
          <w:sz w:val="24"/>
          <w:szCs w:val="24"/>
          <w:lang w:val="en-GB"/>
        </w:rPr>
        <w:t>The first descriptive measures of wealth inequality</w:t>
      </w:r>
      <w:r w:rsidR="00965E2E">
        <w:rPr>
          <w:sz w:val="24"/>
          <w:szCs w:val="24"/>
          <w:lang w:val="en-GB"/>
        </w:rPr>
        <w:t xml:space="preserve"> for the upper half of the distribution</w:t>
      </w:r>
      <w:r>
        <w:rPr>
          <w:sz w:val="24"/>
          <w:szCs w:val="24"/>
          <w:lang w:val="en-GB"/>
        </w:rPr>
        <w:t xml:space="preserve"> (Figure </w:t>
      </w:r>
      <w:r w:rsidR="009F7091">
        <w:rPr>
          <w:sz w:val="24"/>
          <w:szCs w:val="24"/>
          <w:lang w:val="en-GB"/>
        </w:rPr>
        <w:t>1</w:t>
      </w:r>
      <w:r>
        <w:rPr>
          <w:sz w:val="24"/>
          <w:szCs w:val="24"/>
          <w:lang w:val="en-GB"/>
        </w:rPr>
        <w:t xml:space="preserve">) reveal that wealth inequality has increased between 1995 and 2013. </w:t>
      </w:r>
      <w:r w:rsidR="007D58F3">
        <w:rPr>
          <w:sz w:val="24"/>
          <w:szCs w:val="24"/>
          <w:lang w:val="en-GB"/>
        </w:rPr>
        <w:t xml:space="preserve">Comparing the different indices, inequality rises if we increase the sensitivity of the Atkinson measures to inequality at the bottom (increasing </w:t>
      </w:r>
      <w:r w:rsidR="007D58F3" w:rsidRPr="002758D6">
        <w:rPr>
          <w:sz w:val="24"/>
          <w:szCs w:val="24"/>
          <w:lang w:val="en-GB"/>
        </w:rPr>
        <w:t>ε</w:t>
      </w:r>
      <w:r w:rsidR="007D58F3">
        <w:rPr>
          <w:sz w:val="24"/>
          <w:szCs w:val="24"/>
          <w:lang w:val="en-GB"/>
        </w:rPr>
        <w:t xml:space="preserve"> from .5 to 2). </w:t>
      </w:r>
      <w:r w:rsidR="007D58F3" w:rsidRPr="009A1147">
        <w:rPr>
          <w:sz w:val="24"/>
          <w:szCs w:val="24"/>
          <w:lang w:val="en-GB"/>
        </w:rPr>
        <w:t>The Atkinson measure saturates with ε=2</w:t>
      </w:r>
      <w:r w:rsidR="00965E2E">
        <w:rPr>
          <w:sz w:val="24"/>
          <w:szCs w:val="24"/>
          <w:lang w:val="en-GB"/>
        </w:rPr>
        <w:t xml:space="preserve"> when we consider the entire </w:t>
      </w:r>
      <w:r w:rsidR="00644F73">
        <w:rPr>
          <w:sz w:val="24"/>
          <w:szCs w:val="24"/>
          <w:lang w:val="en-GB"/>
        </w:rPr>
        <w:t xml:space="preserve">distribution </w:t>
      </w:r>
      <w:r w:rsidR="00965E2E">
        <w:rPr>
          <w:sz w:val="24"/>
          <w:szCs w:val="24"/>
          <w:lang w:val="en-GB"/>
        </w:rPr>
        <w:t xml:space="preserve">(output </w:t>
      </w:r>
      <w:r w:rsidR="00644F73">
        <w:rPr>
          <w:sz w:val="24"/>
          <w:szCs w:val="24"/>
          <w:lang w:val="en-GB"/>
        </w:rPr>
        <w:t>in annex</w:t>
      </w:r>
      <w:r w:rsidR="00965E2E">
        <w:rPr>
          <w:sz w:val="24"/>
          <w:szCs w:val="24"/>
          <w:lang w:val="en-GB"/>
        </w:rPr>
        <w:t>)</w:t>
      </w:r>
      <w:r w:rsidR="00386A22">
        <w:rPr>
          <w:sz w:val="24"/>
          <w:szCs w:val="24"/>
          <w:lang w:val="en-GB"/>
        </w:rPr>
        <w:t xml:space="preserve">, which </w:t>
      </w:r>
      <w:r w:rsidR="00386A22" w:rsidRPr="00386A22">
        <w:rPr>
          <w:sz w:val="24"/>
          <w:szCs w:val="24"/>
          <w:lang w:val="en-GB"/>
        </w:rPr>
        <w:t>emphasize</w:t>
      </w:r>
      <w:r w:rsidR="00386A22">
        <w:rPr>
          <w:sz w:val="24"/>
          <w:szCs w:val="24"/>
          <w:lang w:val="en-GB"/>
        </w:rPr>
        <w:t xml:space="preserve"> the lower end of the distribution. The reason is that i</w:t>
      </w:r>
      <w:r w:rsidR="007D58F3" w:rsidRPr="009A1147">
        <w:rPr>
          <w:sz w:val="24"/>
          <w:szCs w:val="24"/>
          <w:lang w:val="en-GB"/>
        </w:rPr>
        <w:t>n the case of wealth</w:t>
      </w:r>
      <w:r w:rsidR="00386A22">
        <w:rPr>
          <w:sz w:val="24"/>
          <w:szCs w:val="24"/>
          <w:lang w:val="en-GB"/>
        </w:rPr>
        <w:t>,</w:t>
      </w:r>
      <w:r w:rsidR="007D58F3" w:rsidRPr="009A1147">
        <w:rPr>
          <w:sz w:val="24"/>
          <w:szCs w:val="24"/>
          <w:lang w:val="en-GB"/>
        </w:rPr>
        <w:t xml:space="preserve"> </w:t>
      </w:r>
      <w:r w:rsidR="00386A22">
        <w:rPr>
          <w:sz w:val="24"/>
          <w:szCs w:val="24"/>
          <w:lang w:val="en-GB"/>
        </w:rPr>
        <w:t xml:space="preserve">inequality is intrinsically high due </w:t>
      </w:r>
      <w:r w:rsidR="001D0933">
        <w:rPr>
          <w:sz w:val="24"/>
          <w:szCs w:val="24"/>
          <w:lang w:val="en-GB"/>
        </w:rPr>
        <w:t xml:space="preserve">individual with zero </w:t>
      </w:r>
      <w:r w:rsidR="003B675A">
        <w:rPr>
          <w:sz w:val="24"/>
          <w:szCs w:val="24"/>
          <w:lang w:val="en-GB"/>
        </w:rPr>
        <w:t xml:space="preserve">or even negative </w:t>
      </w:r>
      <w:r w:rsidR="001D0933">
        <w:rPr>
          <w:sz w:val="24"/>
          <w:szCs w:val="24"/>
          <w:lang w:val="en-GB"/>
        </w:rPr>
        <w:t>wealth</w:t>
      </w:r>
      <w:r w:rsidR="007D58F3">
        <w:rPr>
          <w:sz w:val="24"/>
          <w:szCs w:val="24"/>
          <w:lang w:val="en-GB"/>
        </w:rPr>
        <w:t xml:space="preserve">. </w:t>
      </w:r>
      <w:r w:rsidR="00341EA7">
        <w:rPr>
          <w:sz w:val="24"/>
          <w:szCs w:val="24"/>
          <w:lang w:val="en-GB"/>
        </w:rPr>
        <w:t>Due to t</w:t>
      </w:r>
      <w:r w:rsidR="00644F73">
        <w:rPr>
          <w:sz w:val="24"/>
          <w:szCs w:val="24"/>
          <w:lang w:val="en-GB"/>
        </w:rPr>
        <w:t>h</w:t>
      </w:r>
      <w:r w:rsidR="00341EA7">
        <w:rPr>
          <w:sz w:val="24"/>
          <w:szCs w:val="24"/>
          <w:lang w:val="en-GB"/>
        </w:rPr>
        <w:t>e</w:t>
      </w:r>
      <w:r w:rsidR="00644F73">
        <w:rPr>
          <w:sz w:val="24"/>
          <w:szCs w:val="24"/>
          <w:lang w:val="en-GB"/>
        </w:rPr>
        <w:t xml:space="preserve"> extreme</w:t>
      </w:r>
      <w:r w:rsidR="003B675A">
        <w:rPr>
          <w:sz w:val="24"/>
          <w:szCs w:val="24"/>
          <w:lang w:val="en-GB"/>
        </w:rPr>
        <w:t xml:space="preserve"> shape of wealth distribution</w:t>
      </w:r>
      <w:r w:rsidR="00341EA7">
        <w:rPr>
          <w:sz w:val="24"/>
          <w:szCs w:val="24"/>
          <w:lang w:val="en-GB"/>
        </w:rPr>
        <w:t>,</w:t>
      </w:r>
      <w:r w:rsidR="003B675A">
        <w:rPr>
          <w:sz w:val="24"/>
          <w:szCs w:val="24"/>
          <w:lang w:val="en-GB"/>
        </w:rPr>
        <w:t xml:space="preserve"> values below the median rapidly converge to zero</w:t>
      </w:r>
      <w:r w:rsidR="00341EA7">
        <w:rPr>
          <w:sz w:val="24"/>
          <w:szCs w:val="24"/>
          <w:lang w:val="en-GB"/>
        </w:rPr>
        <w:t xml:space="preserve"> that imply</w:t>
      </w:r>
      <w:r w:rsidR="003B675A">
        <w:rPr>
          <w:sz w:val="24"/>
          <w:szCs w:val="24"/>
          <w:lang w:val="en-GB"/>
        </w:rPr>
        <w:t xml:space="preserve"> </w:t>
      </w:r>
      <w:r w:rsidR="00341EA7">
        <w:rPr>
          <w:sz w:val="24"/>
          <w:szCs w:val="24"/>
          <w:lang w:val="en-GB"/>
        </w:rPr>
        <w:t xml:space="preserve">deep </w:t>
      </w:r>
      <w:r w:rsidR="003B675A">
        <w:rPr>
          <w:sz w:val="24"/>
          <w:szCs w:val="24"/>
          <w:lang w:val="en-GB"/>
        </w:rPr>
        <w:t>impact on measures of inequality based on logged values</w:t>
      </w:r>
      <w:r w:rsidR="00341EA7">
        <w:rPr>
          <w:sz w:val="24"/>
          <w:szCs w:val="24"/>
          <w:lang w:val="en-GB"/>
        </w:rPr>
        <w:t xml:space="preserve"> that tend to saturate. </w:t>
      </w:r>
      <w:r w:rsidR="001D0933">
        <w:rPr>
          <w:sz w:val="24"/>
          <w:szCs w:val="24"/>
          <w:lang w:val="en-GB"/>
        </w:rPr>
        <w:t xml:space="preserve">Therefore, </w:t>
      </w:r>
      <w:r w:rsidR="00CA69DE">
        <w:rPr>
          <w:sz w:val="24"/>
          <w:szCs w:val="24"/>
          <w:lang w:val="en-GB"/>
        </w:rPr>
        <w:t>the observation of</w:t>
      </w:r>
      <w:r w:rsidR="001D0933">
        <w:rPr>
          <w:sz w:val="24"/>
          <w:szCs w:val="24"/>
          <w:lang w:val="en-GB"/>
        </w:rPr>
        <w:t xml:space="preserve"> changes in wealth inequality is </w:t>
      </w:r>
      <w:r w:rsidR="00CA69DE">
        <w:rPr>
          <w:sz w:val="24"/>
          <w:szCs w:val="24"/>
          <w:lang w:val="en-GB"/>
        </w:rPr>
        <w:t>in our view more meaningful in</w:t>
      </w:r>
      <w:r w:rsidR="001D0933">
        <w:rPr>
          <w:sz w:val="24"/>
          <w:szCs w:val="24"/>
          <w:lang w:val="en-GB"/>
        </w:rPr>
        <w:t xml:space="preserve"> the upper </w:t>
      </w:r>
      <w:r w:rsidR="00CA69DE">
        <w:rPr>
          <w:sz w:val="24"/>
          <w:szCs w:val="24"/>
          <w:lang w:val="en-GB"/>
        </w:rPr>
        <w:t xml:space="preserve">part </w:t>
      </w:r>
      <w:r w:rsidR="001D0933">
        <w:rPr>
          <w:sz w:val="24"/>
          <w:szCs w:val="24"/>
          <w:lang w:val="en-GB"/>
        </w:rPr>
        <w:t>of the wealth distribution, w</w:t>
      </w:r>
      <w:r w:rsidR="000E48FA">
        <w:rPr>
          <w:sz w:val="24"/>
          <w:szCs w:val="24"/>
          <w:lang w:val="en-GB"/>
        </w:rPr>
        <w:t>h</w:t>
      </w:r>
      <w:r w:rsidR="001D0933">
        <w:rPr>
          <w:sz w:val="24"/>
          <w:szCs w:val="24"/>
          <w:lang w:val="en-GB"/>
        </w:rPr>
        <w:t xml:space="preserve">ere </w:t>
      </w:r>
      <w:r w:rsidR="00CA69DE">
        <w:rPr>
          <w:sz w:val="24"/>
          <w:szCs w:val="24"/>
          <w:lang w:val="en-GB"/>
        </w:rPr>
        <w:t xml:space="preserve">the estimate is not </w:t>
      </w:r>
      <w:r w:rsidR="0049049A">
        <w:rPr>
          <w:sz w:val="24"/>
          <w:szCs w:val="24"/>
          <w:lang w:val="en-GB"/>
        </w:rPr>
        <w:t xml:space="preserve">saturated </w:t>
      </w:r>
      <w:r w:rsidR="00CA69DE">
        <w:rPr>
          <w:sz w:val="24"/>
          <w:szCs w:val="24"/>
          <w:lang w:val="en-GB"/>
        </w:rPr>
        <w:t>due to negative and zero wealth</w:t>
      </w:r>
      <w:r w:rsidR="001D0933">
        <w:rPr>
          <w:sz w:val="24"/>
          <w:szCs w:val="24"/>
          <w:lang w:val="en-GB"/>
        </w:rPr>
        <w:t>.</w:t>
      </w:r>
      <w:r w:rsidR="00965E2E">
        <w:rPr>
          <w:sz w:val="24"/>
          <w:szCs w:val="24"/>
          <w:lang w:val="en-GB"/>
        </w:rPr>
        <w:t xml:space="preserve"> </w:t>
      </w:r>
      <w:r w:rsidR="0049049A">
        <w:rPr>
          <w:sz w:val="24"/>
          <w:szCs w:val="24"/>
          <w:lang w:val="en-GB"/>
        </w:rPr>
        <w:t>In countries where wealth inequality is extreme, like in the U.S. (Cowell et al 2017)</w:t>
      </w:r>
      <w:r w:rsidR="009B68F1">
        <w:rPr>
          <w:sz w:val="24"/>
          <w:szCs w:val="24"/>
          <w:lang w:val="en-GB"/>
        </w:rPr>
        <w:t xml:space="preserve">, traditional tools have difficulties to measure the intensity of change and locate where the changes happen in the distribution. </w:t>
      </w:r>
    </w:p>
    <w:p w14:paraId="032CED38" w14:textId="77777777" w:rsidR="001F60F9" w:rsidRDefault="001F60F9">
      <w:pPr>
        <w:rPr>
          <w:i/>
          <w:sz w:val="24"/>
          <w:szCs w:val="24"/>
          <w:lang w:val="en-GB"/>
        </w:rPr>
      </w:pPr>
      <w:r>
        <w:rPr>
          <w:i/>
          <w:sz w:val="24"/>
          <w:szCs w:val="24"/>
          <w:lang w:val="en-GB"/>
        </w:rPr>
        <w:br w:type="page"/>
      </w:r>
    </w:p>
    <w:p w14:paraId="3CE685A6" w14:textId="7F43950A" w:rsidR="00D9331D" w:rsidRDefault="00D9331D" w:rsidP="00AC56B9">
      <w:pPr>
        <w:spacing w:after="120" w:line="480" w:lineRule="auto"/>
        <w:jc w:val="both"/>
        <w:rPr>
          <w:i/>
          <w:sz w:val="24"/>
          <w:szCs w:val="24"/>
          <w:lang w:val="en-GB"/>
        </w:rPr>
      </w:pPr>
      <w:r>
        <w:rPr>
          <w:i/>
          <w:sz w:val="24"/>
          <w:szCs w:val="24"/>
          <w:lang w:val="en-GB"/>
        </w:rPr>
        <w:lastRenderedPageBreak/>
        <w:t xml:space="preserve">Figure </w:t>
      </w:r>
      <w:r w:rsidR="009F7091">
        <w:rPr>
          <w:i/>
          <w:sz w:val="24"/>
          <w:szCs w:val="24"/>
          <w:lang w:val="en-GB"/>
        </w:rPr>
        <w:t>1</w:t>
      </w:r>
      <w:r>
        <w:rPr>
          <w:i/>
          <w:sz w:val="24"/>
          <w:szCs w:val="24"/>
          <w:lang w:val="en-GB"/>
        </w:rPr>
        <w:t>:</w:t>
      </w:r>
      <w:r w:rsidR="002C4035">
        <w:rPr>
          <w:i/>
          <w:sz w:val="24"/>
          <w:szCs w:val="24"/>
          <w:lang w:val="en-GB"/>
        </w:rPr>
        <w:t xml:space="preserve"> Trends in o</w:t>
      </w:r>
      <w:r>
        <w:rPr>
          <w:i/>
          <w:sz w:val="24"/>
          <w:szCs w:val="24"/>
          <w:lang w:val="en-GB"/>
        </w:rPr>
        <w:t xml:space="preserve">verall inequality in </w:t>
      </w:r>
      <w:r w:rsidR="009F7091">
        <w:rPr>
          <w:i/>
          <w:sz w:val="24"/>
          <w:szCs w:val="24"/>
          <w:lang w:val="en-GB"/>
        </w:rPr>
        <w:t>wealth</w:t>
      </w:r>
      <w:r>
        <w:rPr>
          <w:i/>
          <w:sz w:val="24"/>
          <w:szCs w:val="24"/>
          <w:lang w:val="en-GB"/>
        </w:rPr>
        <w:t>: Gini and Atkinson indices</w:t>
      </w:r>
      <w:r w:rsidR="0067576E">
        <w:rPr>
          <w:i/>
          <w:sz w:val="24"/>
          <w:szCs w:val="24"/>
          <w:lang w:val="en-GB"/>
        </w:rPr>
        <w:t xml:space="preserve"> for the upper half of the distribution</w:t>
      </w:r>
    </w:p>
    <w:p w14:paraId="19B3D374" w14:textId="36971766" w:rsidR="00D9331D" w:rsidRPr="00294E67" w:rsidRDefault="006B3966" w:rsidP="001505F1">
      <w:pPr>
        <w:spacing w:after="120" w:line="480" w:lineRule="auto"/>
        <w:jc w:val="center"/>
        <w:rPr>
          <w:iCs/>
          <w:sz w:val="24"/>
          <w:szCs w:val="24"/>
          <w:lang w:val="en-GB"/>
        </w:rPr>
      </w:pPr>
      <w:r w:rsidRPr="001505F1">
        <w:rPr>
          <w:noProof/>
          <w:lang w:val="en-US"/>
        </w:rPr>
        <w:t xml:space="preserve"> </w:t>
      </w:r>
      <w:r w:rsidRPr="006B3966">
        <w:rPr>
          <w:iCs/>
          <w:noProof/>
          <w:sz w:val="24"/>
          <w:szCs w:val="24"/>
          <w:lang w:val="en-US" w:eastAsia="en-US"/>
        </w:rPr>
        <w:drawing>
          <wp:inline distT="0" distB="0" distL="0" distR="0" wp14:anchorId="65C58F16" wp14:editId="2F9B743E">
            <wp:extent cx="4200444" cy="30564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200444" cy="3056466"/>
                    </a:xfrm>
                    <a:prstGeom prst="rect">
                      <a:avLst/>
                    </a:prstGeom>
                  </pic:spPr>
                </pic:pic>
              </a:graphicData>
            </a:graphic>
          </wp:inline>
        </w:drawing>
      </w:r>
    </w:p>
    <w:p w14:paraId="106A83EC" w14:textId="5EB9AA80" w:rsidR="00D80CC9" w:rsidRPr="0013301D" w:rsidRDefault="0049049A" w:rsidP="00D80CC9">
      <w:pPr>
        <w:spacing w:after="120" w:line="480" w:lineRule="auto"/>
        <w:jc w:val="both"/>
        <w:rPr>
          <w:szCs w:val="24"/>
          <w:lang w:val="en-GB"/>
        </w:rPr>
      </w:pPr>
      <w:r>
        <w:rPr>
          <w:szCs w:val="24"/>
          <w:lang w:val="en-GB"/>
        </w:rPr>
        <w:t xml:space="preserve">Source: LWS (US-SCF). Note: </w:t>
      </w:r>
      <w:r>
        <w:rPr>
          <w:lang w:val="en-US"/>
        </w:rPr>
        <w:t xml:space="preserve">See Figure A.1 in the annex for the trends for the entire wealth distribution. </w:t>
      </w:r>
    </w:p>
    <w:p w14:paraId="49AD6A09" w14:textId="77777777" w:rsidR="007D645D" w:rsidRDefault="007D645D" w:rsidP="007D645D">
      <w:pPr>
        <w:spacing w:after="120" w:line="480" w:lineRule="auto"/>
        <w:jc w:val="both"/>
        <w:rPr>
          <w:sz w:val="24"/>
          <w:szCs w:val="24"/>
          <w:lang w:val="en-GB"/>
        </w:rPr>
      </w:pPr>
      <w:r>
        <w:rPr>
          <w:sz w:val="24"/>
          <w:szCs w:val="24"/>
          <w:lang w:val="en-GB"/>
        </w:rPr>
        <w:t xml:space="preserve">As the indicators already diverge when different parts of the distribution are weighted more, they confirm that inequality is not uniformly distributed. We are particularly interested in localising low and high levels of inequality, to which we turn next. In doing so, we restrict ourselves to the upper half of the distribution for the reason mentioned above. </w:t>
      </w:r>
    </w:p>
    <w:p w14:paraId="577F346C" w14:textId="77777777" w:rsidR="00CA69DE" w:rsidRDefault="00CA69DE" w:rsidP="00AF0CE3">
      <w:pPr>
        <w:spacing w:after="120" w:line="480" w:lineRule="auto"/>
        <w:jc w:val="both"/>
        <w:rPr>
          <w:i/>
          <w:sz w:val="24"/>
          <w:szCs w:val="24"/>
          <w:lang w:val="en-GB"/>
        </w:rPr>
      </w:pPr>
    </w:p>
    <w:p w14:paraId="056C062D" w14:textId="32ED5FC1" w:rsidR="001A073F" w:rsidRPr="001A073F" w:rsidRDefault="007D671A" w:rsidP="00AF0CE3">
      <w:pPr>
        <w:spacing w:after="120" w:line="480" w:lineRule="auto"/>
        <w:jc w:val="both"/>
        <w:rPr>
          <w:i/>
          <w:sz w:val="24"/>
          <w:szCs w:val="24"/>
          <w:lang w:val="en-GB"/>
        </w:rPr>
      </w:pPr>
      <w:r>
        <w:rPr>
          <w:i/>
          <w:sz w:val="24"/>
          <w:szCs w:val="24"/>
          <w:lang w:val="en-GB"/>
        </w:rPr>
        <w:t>I</w:t>
      </w:r>
      <w:r w:rsidRPr="001A073F">
        <w:rPr>
          <w:i/>
          <w:sz w:val="24"/>
          <w:szCs w:val="24"/>
          <w:lang w:val="en-GB"/>
        </w:rPr>
        <w:t>ncreasing</w:t>
      </w:r>
      <w:r>
        <w:rPr>
          <w:i/>
          <w:sz w:val="24"/>
          <w:szCs w:val="24"/>
          <w:lang w:val="en-GB"/>
        </w:rPr>
        <w:t xml:space="preserve"> i</w:t>
      </w:r>
      <w:r w:rsidR="001A073F" w:rsidRPr="001A073F">
        <w:rPr>
          <w:i/>
          <w:sz w:val="24"/>
          <w:szCs w:val="24"/>
          <w:lang w:val="en-GB"/>
        </w:rPr>
        <w:t xml:space="preserve">ncome and wealth inequality </w:t>
      </w:r>
    </w:p>
    <w:p w14:paraId="3C2CA402" w14:textId="774AF9EF" w:rsidR="00E1361A" w:rsidRDefault="006234A4" w:rsidP="00BE7C85">
      <w:pPr>
        <w:spacing w:after="120" w:line="480" w:lineRule="auto"/>
        <w:jc w:val="both"/>
        <w:rPr>
          <w:sz w:val="24"/>
          <w:szCs w:val="24"/>
          <w:lang w:val="en-GB"/>
        </w:rPr>
      </w:pPr>
      <w:r>
        <w:rPr>
          <w:sz w:val="24"/>
          <w:szCs w:val="24"/>
          <w:lang w:val="en-GB"/>
        </w:rPr>
        <w:t xml:space="preserve">Figure </w:t>
      </w:r>
      <w:r w:rsidR="009F7091">
        <w:rPr>
          <w:sz w:val="24"/>
          <w:szCs w:val="24"/>
          <w:lang w:val="en-GB"/>
        </w:rPr>
        <w:t>2</w:t>
      </w:r>
      <w:r w:rsidR="00B153AB">
        <w:rPr>
          <w:sz w:val="24"/>
          <w:szCs w:val="24"/>
          <w:lang w:val="en-GB"/>
        </w:rPr>
        <w:t xml:space="preserve"> characteriz</w:t>
      </w:r>
      <w:r w:rsidR="000D1923">
        <w:rPr>
          <w:sz w:val="24"/>
          <w:szCs w:val="24"/>
          <w:lang w:val="en-GB"/>
        </w:rPr>
        <w:t>e</w:t>
      </w:r>
      <w:r w:rsidR="009A1147">
        <w:rPr>
          <w:sz w:val="24"/>
          <w:szCs w:val="24"/>
          <w:lang w:val="en-GB"/>
        </w:rPr>
        <w:t>s</w:t>
      </w:r>
      <w:r w:rsidR="000D1923">
        <w:rPr>
          <w:sz w:val="24"/>
          <w:szCs w:val="24"/>
          <w:lang w:val="en-GB"/>
        </w:rPr>
        <w:t xml:space="preserve"> the dynamics </w:t>
      </w:r>
      <w:r w:rsidR="00B153AB">
        <w:rPr>
          <w:sz w:val="24"/>
          <w:szCs w:val="24"/>
          <w:lang w:val="en-GB"/>
        </w:rPr>
        <w:t>of inequality in income and in wealth</w:t>
      </w:r>
      <w:r w:rsidR="000D1923">
        <w:rPr>
          <w:sz w:val="24"/>
          <w:szCs w:val="24"/>
          <w:lang w:val="en-GB"/>
        </w:rPr>
        <w:t>.</w:t>
      </w:r>
      <w:r w:rsidR="006E0D93">
        <w:rPr>
          <w:sz w:val="24"/>
          <w:szCs w:val="24"/>
          <w:lang w:val="en-GB"/>
        </w:rPr>
        <w:t xml:space="preserve"> It depicts the Isographs of wealth and of income in 1995 and 2013</w:t>
      </w:r>
      <w:r w:rsidR="00924E6D">
        <w:rPr>
          <w:sz w:val="24"/>
          <w:szCs w:val="24"/>
          <w:lang w:val="en-GB"/>
        </w:rPr>
        <w:t xml:space="preserve"> at different points of the respective distribution</w:t>
      </w:r>
      <w:r w:rsidR="006E0D93">
        <w:rPr>
          <w:sz w:val="24"/>
          <w:szCs w:val="24"/>
          <w:lang w:val="en-GB"/>
        </w:rPr>
        <w:t>.</w:t>
      </w:r>
      <w:r w:rsidR="000D1923">
        <w:rPr>
          <w:sz w:val="24"/>
          <w:szCs w:val="24"/>
          <w:lang w:val="en-GB"/>
        </w:rPr>
        <w:t xml:space="preserve"> </w:t>
      </w:r>
      <w:r w:rsidR="00E1361A">
        <w:rPr>
          <w:sz w:val="24"/>
          <w:szCs w:val="24"/>
          <w:lang w:val="en-GB"/>
        </w:rPr>
        <w:t xml:space="preserve">Overall, we find significant increase in income and wealth inequality in line with previous studies </w:t>
      </w:r>
      <w:r w:rsidR="00E1361A" w:rsidRPr="00AF0CE3">
        <w:rPr>
          <w:sz w:val="24"/>
          <w:lang w:val="en-US"/>
        </w:rPr>
        <w:t>(Kristal &amp; Cohen, 2016; Looney &amp; Moore, 2016)</w:t>
      </w:r>
      <w:r w:rsidR="00E1361A">
        <w:rPr>
          <w:sz w:val="24"/>
          <w:szCs w:val="24"/>
          <w:lang w:val="en-GB"/>
        </w:rPr>
        <w:t xml:space="preserve">. </w:t>
      </w:r>
      <w:r w:rsidR="00924E6D">
        <w:rPr>
          <w:sz w:val="24"/>
          <w:szCs w:val="24"/>
          <w:lang w:val="en-GB"/>
        </w:rPr>
        <w:t xml:space="preserve">Figure 2 shows that the largest increases </w:t>
      </w:r>
      <w:r w:rsidR="00524A56">
        <w:rPr>
          <w:sz w:val="24"/>
          <w:szCs w:val="24"/>
          <w:lang w:val="en-GB"/>
        </w:rPr>
        <w:t xml:space="preserve">in income inequality </w:t>
      </w:r>
      <w:r w:rsidR="00924E6D">
        <w:rPr>
          <w:sz w:val="24"/>
          <w:szCs w:val="24"/>
          <w:lang w:val="en-GB"/>
        </w:rPr>
        <w:t xml:space="preserve">can be located </w:t>
      </w:r>
      <w:r w:rsidR="00524A56">
        <w:rPr>
          <w:sz w:val="24"/>
          <w:szCs w:val="24"/>
          <w:lang w:val="en-GB"/>
        </w:rPr>
        <w:t>directly above the median as well as around the top percentile (logitrank</w:t>
      </w:r>
      <w:r w:rsidR="00524A56">
        <w:rPr>
          <w:sz w:val="24"/>
          <w:szCs w:val="24"/>
          <w:lang w:val="en-GB"/>
        </w:rPr>
        <w:sym w:font="Symbol" w:char="F0BB"/>
      </w:r>
      <w:r w:rsidR="00524A56">
        <w:rPr>
          <w:sz w:val="24"/>
          <w:szCs w:val="24"/>
          <w:lang w:val="en-GB"/>
        </w:rPr>
        <w:t xml:space="preserve">5). </w:t>
      </w:r>
      <w:r w:rsidR="009B68F1">
        <w:rPr>
          <w:sz w:val="24"/>
          <w:szCs w:val="24"/>
          <w:lang w:val="en-GB"/>
        </w:rPr>
        <w:t xml:space="preserve">This first result on increasing inequality looks </w:t>
      </w:r>
      <w:r w:rsidR="009B68F1">
        <w:rPr>
          <w:sz w:val="24"/>
          <w:szCs w:val="24"/>
          <w:lang w:val="en-GB"/>
        </w:rPr>
        <w:lastRenderedPageBreak/>
        <w:t>underestimated through the SCF source since LIS data, based on the CPS, show very significant increase in income inequality. Anyway, the second result is clearly established: w</w:t>
      </w:r>
      <w:r w:rsidR="00524A56">
        <w:rPr>
          <w:sz w:val="24"/>
          <w:szCs w:val="24"/>
          <w:lang w:val="en-GB"/>
        </w:rPr>
        <w:t xml:space="preserve">ealth inequality has increased at all points in the </w:t>
      </w:r>
      <w:r w:rsidR="009B68F1">
        <w:rPr>
          <w:sz w:val="24"/>
          <w:szCs w:val="24"/>
          <w:lang w:val="en-GB"/>
        </w:rPr>
        <w:t xml:space="preserve">window of observation </w:t>
      </w:r>
      <w:r w:rsidR="00524A56">
        <w:rPr>
          <w:sz w:val="24"/>
          <w:szCs w:val="24"/>
          <w:lang w:val="en-GB"/>
        </w:rPr>
        <w:t>between 1995 and 2013, except at the very top.</w:t>
      </w:r>
      <w:r w:rsidR="00BE7C85">
        <w:rPr>
          <w:sz w:val="24"/>
          <w:szCs w:val="24"/>
          <w:lang w:val="en-GB"/>
        </w:rPr>
        <w:t xml:space="preserve"> Compared to other countries isographs we dispose of</w:t>
      </w:r>
      <w:r w:rsidR="00EA5667">
        <w:rPr>
          <w:sz w:val="24"/>
          <w:szCs w:val="24"/>
          <w:lang w:val="en-GB"/>
        </w:rPr>
        <w:t xml:space="preserve"> (see annex A3 and A4) </w:t>
      </w:r>
      <w:r w:rsidR="00BE7C85">
        <w:rPr>
          <w:sz w:val="24"/>
          <w:szCs w:val="24"/>
          <w:lang w:val="en-GB"/>
        </w:rPr>
        <w:t xml:space="preserve">in the U.K. 2011 </w:t>
      </w:r>
      <w:r w:rsidR="00EA5667">
        <w:rPr>
          <w:sz w:val="24"/>
          <w:szCs w:val="24"/>
          <w:lang w:val="en-GB"/>
        </w:rPr>
        <w:t xml:space="preserve">(Source </w:t>
      </w:r>
      <w:r w:rsidR="00BE7C85" w:rsidRPr="00BE7C85">
        <w:rPr>
          <w:sz w:val="24"/>
          <w:szCs w:val="24"/>
          <w:lang w:val="en-GB"/>
        </w:rPr>
        <w:t>Wealth and Assets Su</w:t>
      </w:r>
      <w:r w:rsidR="00BE7C85">
        <w:rPr>
          <w:sz w:val="24"/>
          <w:szCs w:val="24"/>
          <w:lang w:val="en-GB"/>
        </w:rPr>
        <w:t>r</w:t>
      </w:r>
      <w:r w:rsidR="00BE7C85" w:rsidRPr="00BE7C85">
        <w:rPr>
          <w:sz w:val="24"/>
          <w:szCs w:val="24"/>
          <w:lang w:val="en-GB"/>
        </w:rPr>
        <w:t xml:space="preserve">vey </w:t>
      </w:r>
      <w:r w:rsidR="00EA5667">
        <w:rPr>
          <w:sz w:val="24"/>
          <w:szCs w:val="24"/>
          <w:lang w:val="en-GB"/>
        </w:rPr>
        <w:t xml:space="preserve">WAS </w:t>
      </w:r>
      <w:r w:rsidR="00BE7C85">
        <w:rPr>
          <w:sz w:val="24"/>
          <w:szCs w:val="24"/>
          <w:lang w:val="en-GB"/>
        </w:rPr>
        <w:t>accessed from L</w:t>
      </w:r>
      <w:r w:rsidR="00BE7C85" w:rsidRPr="00BE7C85">
        <w:rPr>
          <w:sz w:val="24"/>
          <w:szCs w:val="24"/>
          <w:lang w:val="en-GB"/>
        </w:rPr>
        <w:t>WS)</w:t>
      </w:r>
      <w:r w:rsidR="00BE7C85">
        <w:rPr>
          <w:sz w:val="24"/>
          <w:szCs w:val="24"/>
          <w:lang w:val="en-GB"/>
        </w:rPr>
        <w:t xml:space="preserve">, the intensity of the U.S. wealth inequality is extreme with values of ISO above 1 on a large span of the distribution when in the U.K. it rapidly converges to .5. </w:t>
      </w:r>
      <w:r w:rsidR="00EA5667">
        <w:rPr>
          <w:sz w:val="24"/>
          <w:szCs w:val="24"/>
          <w:lang w:val="en-GB"/>
        </w:rPr>
        <w:t xml:space="preserve">With the observed trends of the U.S. isograph, we detect now a distribution comparable to a Zipf curve </w:t>
      </w:r>
      <w:r w:rsidR="00EA5667" w:rsidRPr="00AF0CE3">
        <w:rPr>
          <w:sz w:val="24"/>
          <w:lang w:val="en-US"/>
        </w:rPr>
        <w:t>(Gabaix, 2009</w:t>
      </w:r>
      <w:r w:rsidR="00EA5667">
        <w:rPr>
          <w:sz w:val="24"/>
          <w:lang w:val="en-US"/>
        </w:rPr>
        <w:t xml:space="preserve">), exceptional by the intensity of its inequality </w:t>
      </w:r>
      <w:r w:rsidR="00EA5667">
        <w:rPr>
          <w:sz w:val="24"/>
          <w:szCs w:val="24"/>
          <w:lang w:val="en-GB"/>
        </w:rPr>
        <w:t xml:space="preserve">in the set of LWS countries. The second result (massive increase of the U.S. wealth inequality) is particularly robust whatever the variants of measurement and tools we considered.   </w:t>
      </w:r>
    </w:p>
    <w:p w14:paraId="743782C6" w14:textId="1698115B" w:rsidR="00D9331D" w:rsidRDefault="00D9331D">
      <w:pPr>
        <w:spacing w:after="120" w:line="480" w:lineRule="auto"/>
        <w:jc w:val="both"/>
        <w:outlineLvl w:val="0"/>
        <w:rPr>
          <w:i/>
          <w:sz w:val="24"/>
          <w:szCs w:val="24"/>
          <w:lang w:val="en-GB"/>
        </w:rPr>
      </w:pPr>
      <w:r w:rsidRPr="00294E67">
        <w:rPr>
          <w:i/>
          <w:sz w:val="24"/>
          <w:szCs w:val="24"/>
          <w:lang w:val="en-GB"/>
        </w:rPr>
        <w:t xml:space="preserve">Figure </w:t>
      </w:r>
      <w:r w:rsidR="009F7091">
        <w:rPr>
          <w:i/>
          <w:sz w:val="24"/>
          <w:szCs w:val="24"/>
          <w:lang w:val="en-GB"/>
        </w:rPr>
        <w:t>2</w:t>
      </w:r>
      <w:r w:rsidRPr="00294E67">
        <w:rPr>
          <w:i/>
          <w:sz w:val="24"/>
          <w:szCs w:val="24"/>
          <w:lang w:val="en-GB"/>
        </w:rPr>
        <w:t xml:space="preserve">: Isographs of </w:t>
      </w:r>
      <w:r w:rsidR="00B705F8">
        <w:rPr>
          <w:i/>
          <w:sz w:val="24"/>
          <w:szCs w:val="24"/>
          <w:lang w:val="en-GB"/>
        </w:rPr>
        <w:t>i</w:t>
      </w:r>
      <w:r w:rsidRPr="00294E67">
        <w:rPr>
          <w:i/>
          <w:sz w:val="24"/>
          <w:szCs w:val="24"/>
          <w:lang w:val="en-GB"/>
        </w:rPr>
        <w:t>ncome</w:t>
      </w:r>
      <w:r w:rsidR="009F7091">
        <w:rPr>
          <w:i/>
          <w:sz w:val="24"/>
          <w:szCs w:val="24"/>
          <w:lang w:val="en-GB"/>
        </w:rPr>
        <w:t xml:space="preserve"> (left)</w:t>
      </w:r>
      <w:r w:rsidRPr="00294E67">
        <w:rPr>
          <w:i/>
          <w:sz w:val="24"/>
          <w:szCs w:val="24"/>
          <w:lang w:val="en-GB"/>
        </w:rPr>
        <w:t xml:space="preserve"> and </w:t>
      </w:r>
      <w:r w:rsidR="00B705F8">
        <w:rPr>
          <w:i/>
          <w:sz w:val="24"/>
          <w:szCs w:val="24"/>
          <w:lang w:val="en-GB"/>
        </w:rPr>
        <w:t>w</w:t>
      </w:r>
      <w:r w:rsidRPr="00294E67">
        <w:rPr>
          <w:i/>
          <w:sz w:val="24"/>
          <w:szCs w:val="24"/>
          <w:lang w:val="en-GB"/>
        </w:rPr>
        <w:t>ealth</w:t>
      </w:r>
      <w:r w:rsidR="009F7091">
        <w:rPr>
          <w:i/>
          <w:sz w:val="24"/>
          <w:szCs w:val="24"/>
          <w:lang w:val="en-GB"/>
        </w:rPr>
        <w:t xml:space="preserve"> (right)</w:t>
      </w:r>
      <w:r w:rsidR="00757E64">
        <w:rPr>
          <w:i/>
          <w:sz w:val="24"/>
          <w:szCs w:val="24"/>
          <w:lang w:val="en-GB"/>
        </w:rPr>
        <w:t xml:space="preserve"> for the upper half of the respective distribution</w:t>
      </w:r>
      <w:r w:rsidRPr="00294E67">
        <w:rPr>
          <w:i/>
          <w:sz w:val="24"/>
          <w:szCs w:val="24"/>
          <w:lang w:val="en-GB"/>
        </w:rPr>
        <w:t>, 1995-2013</w:t>
      </w:r>
    </w:p>
    <w:p w14:paraId="044B1EE6" w14:textId="62DE9AFC" w:rsidR="00D9331D" w:rsidRDefault="006B6AEB" w:rsidP="001505F1">
      <w:pPr>
        <w:spacing w:after="120"/>
        <w:jc w:val="center"/>
        <w:outlineLvl w:val="0"/>
        <w:rPr>
          <w:i/>
          <w:sz w:val="24"/>
          <w:szCs w:val="24"/>
          <w:lang w:val="en-GB"/>
        </w:rPr>
      </w:pPr>
      <w:r w:rsidRPr="006B6AEB">
        <w:rPr>
          <w:i/>
          <w:noProof/>
          <w:sz w:val="24"/>
          <w:szCs w:val="24"/>
          <w:lang w:val="en-US" w:eastAsia="en-US"/>
        </w:rPr>
        <w:drawing>
          <wp:inline distT="0" distB="0" distL="0" distR="0" wp14:anchorId="45FD9309" wp14:editId="61B28360">
            <wp:extent cx="4665868" cy="33951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669268" cy="3397607"/>
                    </a:xfrm>
                    <a:prstGeom prst="rect">
                      <a:avLst/>
                    </a:prstGeom>
                  </pic:spPr>
                </pic:pic>
              </a:graphicData>
            </a:graphic>
          </wp:inline>
        </w:drawing>
      </w:r>
    </w:p>
    <w:p w14:paraId="320EF6D1" w14:textId="4C1F65FE" w:rsidR="007E275E" w:rsidRDefault="00D9331D" w:rsidP="00C05061">
      <w:pPr>
        <w:spacing w:after="120"/>
        <w:jc w:val="both"/>
        <w:outlineLvl w:val="0"/>
        <w:rPr>
          <w:sz w:val="24"/>
          <w:szCs w:val="24"/>
          <w:lang w:val="en-GB"/>
        </w:rPr>
      </w:pPr>
      <w:r w:rsidRPr="00AC56B9">
        <w:rPr>
          <w:lang w:val="en-US"/>
        </w:rPr>
        <w:t>Note: The X-axis represents the logitranks of income and wealth. The Y-axis represents the level of ISO</w:t>
      </w:r>
      <w:r>
        <w:rPr>
          <w:i/>
          <w:sz w:val="24"/>
          <w:szCs w:val="24"/>
          <w:lang w:val="en-GB"/>
        </w:rPr>
        <w:t>.</w:t>
      </w:r>
      <w:r w:rsidR="009F7091">
        <w:rPr>
          <w:rFonts w:hint="cs"/>
          <w:i/>
          <w:sz w:val="24"/>
          <w:szCs w:val="24"/>
          <w:rtl/>
          <w:lang w:val="en-GB" w:bidi="he-IL"/>
        </w:rPr>
        <w:t xml:space="preserve"> </w:t>
      </w:r>
      <w:r w:rsidR="009F7091" w:rsidRPr="00AC56B9">
        <w:rPr>
          <w:lang w:val="en-US"/>
        </w:rPr>
        <w:t>The higher the curve at a given level of X (logit rank), the greater are the income</w:t>
      </w:r>
      <w:r w:rsidR="009F7091">
        <w:rPr>
          <w:lang w:val="en-US"/>
        </w:rPr>
        <w:t xml:space="preserve"> or wealth</w:t>
      </w:r>
      <w:r w:rsidR="009F7091" w:rsidRPr="00AC56B9">
        <w:rPr>
          <w:lang w:val="en-US"/>
        </w:rPr>
        <w:t xml:space="preserve"> inequalities at this level.</w:t>
      </w:r>
      <w:r>
        <w:rPr>
          <w:i/>
          <w:sz w:val="24"/>
          <w:szCs w:val="24"/>
          <w:lang w:val="en-GB"/>
        </w:rPr>
        <w:t xml:space="preserve"> </w:t>
      </w:r>
      <w:r w:rsidR="0049049A">
        <w:rPr>
          <w:szCs w:val="24"/>
          <w:lang w:val="en-GB"/>
        </w:rPr>
        <w:t>Source: LWS (US-SCF).</w:t>
      </w:r>
    </w:p>
    <w:p w14:paraId="5B9D0B6A" w14:textId="77777777" w:rsidR="00C05061" w:rsidRDefault="00C05061" w:rsidP="00C05061">
      <w:pPr>
        <w:spacing w:after="120" w:line="480" w:lineRule="auto"/>
        <w:jc w:val="both"/>
        <w:rPr>
          <w:sz w:val="24"/>
          <w:szCs w:val="24"/>
          <w:lang w:val="en-GB"/>
        </w:rPr>
      </w:pPr>
    </w:p>
    <w:p w14:paraId="46FFA91B" w14:textId="258677E9" w:rsidR="00BE7C85" w:rsidRDefault="00BE7C85" w:rsidP="00C05061">
      <w:pPr>
        <w:spacing w:after="120" w:line="480" w:lineRule="auto"/>
        <w:jc w:val="both"/>
        <w:rPr>
          <w:sz w:val="24"/>
          <w:szCs w:val="24"/>
          <w:lang w:val="en-GB"/>
        </w:rPr>
      </w:pPr>
    </w:p>
    <w:p w14:paraId="031F6EA5" w14:textId="00B40B3C" w:rsidR="001A073F" w:rsidRPr="001A073F" w:rsidRDefault="00A03028" w:rsidP="005B59D0">
      <w:pPr>
        <w:spacing w:after="120" w:line="480" w:lineRule="auto"/>
        <w:jc w:val="both"/>
        <w:outlineLvl w:val="0"/>
        <w:rPr>
          <w:i/>
          <w:sz w:val="24"/>
          <w:szCs w:val="24"/>
          <w:lang w:val="en-GB"/>
        </w:rPr>
      </w:pPr>
      <w:r>
        <w:rPr>
          <w:i/>
          <w:sz w:val="24"/>
          <w:szCs w:val="24"/>
          <w:lang w:val="en-GB"/>
        </w:rPr>
        <w:t>Increasing consistence of the i</w:t>
      </w:r>
      <w:r w:rsidR="001A073F" w:rsidRPr="001A073F">
        <w:rPr>
          <w:i/>
          <w:sz w:val="24"/>
          <w:szCs w:val="24"/>
          <w:lang w:val="en-GB"/>
        </w:rPr>
        <w:t xml:space="preserve">ncome and wealth </w:t>
      </w:r>
      <w:r>
        <w:rPr>
          <w:i/>
          <w:sz w:val="24"/>
          <w:szCs w:val="24"/>
          <w:lang w:val="en-GB"/>
        </w:rPr>
        <w:t xml:space="preserve">diagonal </w:t>
      </w:r>
    </w:p>
    <w:p w14:paraId="67E464B0" w14:textId="2D3BCC0E" w:rsidR="001A073F" w:rsidRDefault="00B46DE0" w:rsidP="00AC56B9">
      <w:pPr>
        <w:spacing w:after="120" w:line="480" w:lineRule="auto"/>
        <w:jc w:val="both"/>
        <w:rPr>
          <w:sz w:val="24"/>
          <w:szCs w:val="24"/>
          <w:lang w:val="en-GB"/>
        </w:rPr>
      </w:pPr>
      <w:r>
        <w:rPr>
          <w:sz w:val="24"/>
          <w:szCs w:val="24"/>
          <w:lang w:val="en-GB"/>
        </w:rPr>
        <w:t>We now turn</w:t>
      </w:r>
      <w:r w:rsidR="00A03028">
        <w:rPr>
          <w:sz w:val="24"/>
          <w:szCs w:val="24"/>
          <w:lang w:val="en-GB"/>
        </w:rPr>
        <w:t xml:space="preserve"> to the consistency of the relation between income and wealth. </w:t>
      </w:r>
      <w:r>
        <w:rPr>
          <w:sz w:val="24"/>
          <w:szCs w:val="24"/>
          <w:lang w:val="en-GB"/>
        </w:rPr>
        <w:t>The u</w:t>
      </w:r>
      <w:r w:rsidR="00A03028">
        <w:rPr>
          <w:sz w:val="24"/>
          <w:szCs w:val="24"/>
          <w:lang w:val="en-GB"/>
        </w:rPr>
        <w:t xml:space="preserve">sual representation of the </w:t>
      </w:r>
      <w:r w:rsidR="005C15D3">
        <w:rPr>
          <w:sz w:val="24"/>
          <w:szCs w:val="24"/>
          <w:lang w:val="en-GB"/>
        </w:rPr>
        <w:t>joint distribution</w:t>
      </w:r>
      <w:r w:rsidR="00CD146D">
        <w:rPr>
          <w:sz w:val="24"/>
          <w:szCs w:val="24"/>
          <w:lang w:val="en-GB"/>
        </w:rPr>
        <w:t xml:space="preserve"> of income and wealth</w:t>
      </w:r>
      <w:r w:rsidR="005E3E89">
        <w:rPr>
          <w:sz w:val="24"/>
          <w:szCs w:val="24"/>
          <w:lang w:val="en-GB"/>
        </w:rPr>
        <w:t xml:space="preserve">, based on 3D plots of </w:t>
      </w:r>
      <w:r w:rsidR="005C15D3">
        <w:rPr>
          <w:sz w:val="24"/>
          <w:szCs w:val="24"/>
          <w:lang w:val="en-GB"/>
        </w:rPr>
        <w:t>percentiles</w:t>
      </w:r>
      <w:r w:rsidR="005E3E89">
        <w:rPr>
          <w:sz w:val="24"/>
          <w:szCs w:val="24"/>
          <w:lang w:val="en-GB"/>
        </w:rPr>
        <w:t>,</w:t>
      </w:r>
      <w:r w:rsidR="005C15D3">
        <w:rPr>
          <w:sz w:val="24"/>
          <w:szCs w:val="24"/>
          <w:lang w:val="en-GB"/>
        </w:rPr>
        <w:t xml:space="preserve"> </w:t>
      </w:r>
      <w:r w:rsidR="0032309C">
        <w:rPr>
          <w:sz w:val="24"/>
          <w:szCs w:val="24"/>
          <w:lang w:val="en-GB"/>
        </w:rPr>
        <w:t xml:space="preserve">generally present </w:t>
      </w:r>
      <w:r w:rsidR="00EE50E5">
        <w:rPr>
          <w:sz w:val="24"/>
          <w:szCs w:val="24"/>
          <w:lang w:val="en-GB"/>
        </w:rPr>
        <w:t xml:space="preserve">diagonal distributions where top and bottom 5% corners are </w:t>
      </w:r>
      <w:r w:rsidR="005E3E89">
        <w:rPr>
          <w:sz w:val="24"/>
          <w:szCs w:val="24"/>
          <w:lang w:val="en-GB"/>
        </w:rPr>
        <w:t>over-</w:t>
      </w:r>
      <w:r w:rsidR="00EE50E5">
        <w:rPr>
          <w:sz w:val="24"/>
          <w:szCs w:val="24"/>
          <w:lang w:val="en-GB"/>
        </w:rPr>
        <w:t>represented</w:t>
      </w:r>
      <w:r w:rsidR="005E3E89">
        <w:rPr>
          <w:sz w:val="24"/>
          <w:szCs w:val="24"/>
          <w:lang w:val="en-GB"/>
        </w:rPr>
        <w:t xml:space="preserve"> (relatively to the </w:t>
      </w:r>
      <w:r w:rsidR="00CD146D">
        <w:rPr>
          <w:sz w:val="24"/>
          <w:szCs w:val="24"/>
          <w:lang w:val="en-GB"/>
        </w:rPr>
        <w:t>benchmark</w:t>
      </w:r>
      <w:r w:rsidR="005E3E89">
        <w:rPr>
          <w:sz w:val="24"/>
          <w:szCs w:val="24"/>
          <w:lang w:val="en-GB"/>
        </w:rPr>
        <w:t xml:space="preserve"> of </w:t>
      </w:r>
      <w:r w:rsidR="00CD146D">
        <w:rPr>
          <w:sz w:val="24"/>
          <w:szCs w:val="24"/>
          <w:lang w:val="en-GB"/>
        </w:rPr>
        <w:t>independence</w:t>
      </w:r>
      <w:r w:rsidR="005E3E89">
        <w:rPr>
          <w:sz w:val="24"/>
          <w:szCs w:val="24"/>
          <w:lang w:val="en-GB"/>
        </w:rPr>
        <w:t>), but the year to year comparison of these graphs remain difficult</w:t>
      </w:r>
      <w:r w:rsidR="00EE50E5">
        <w:rPr>
          <w:sz w:val="24"/>
          <w:szCs w:val="24"/>
          <w:lang w:val="en-GB"/>
        </w:rPr>
        <w:t xml:space="preserve">. As a </w:t>
      </w:r>
      <w:r w:rsidR="009B75BC">
        <w:rPr>
          <w:sz w:val="24"/>
          <w:szCs w:val="24"/>
          <w:lang w:val="en-GB"/>
        </w:rPr>
        <w:t>consequence,</w:t>
      </w:r>
      <w:r w:rsidR="00EE50E5">
        <w:rPr>
          <w:sz w:val="24"/>
          <w:szCs w:val="24"/>
          <w:lang w:val="en-GB"/>
        </w:rPr>
        <w:t xml:space="preserve"> it is virtually impossible to measure changes in the tails where </w:t>
      </w:r>
      <w:r w:rsidR="00E01D90">
        <w:rPr>
          <w:sz w:val="24"/>
          <w:szCs w:val="24"/>
          <w:lang w:val="en-GB"/>
        </w:rPr>
        <w:t>millionaires</w:t>
      </w:r>
      <w:r w:rsidR="00EE50E5">
        <w:rPr>
          <w:sz w:val="24"/>
          <w:szCs w:val="24"/>
          <w:lang w:val="en-GB"/>
        </w:rPr>
        <w:t xml:space="preserve"> and </w:t>
      </w:r>
      <w:r w:rsidR="00E01D90">
        <w:rPr>
          <w:sz w:val="24"/>
          <w:szCs w:val="24"/>
          <w:lang w:val="en-GB"/>
        </w:rPr>
        <w:t>billionaires</w:t>
      </w:r>
      <w:r w:rsidR="00EE50E5">
        <w:rPr>
          <w:sz w:val="24"/>
          <w:szCs w:val="24"/>
          <w:lang w:val="en-GB"/>
        </w:rPr>
        <w:t xml:space="preserve"> </w:t>
      </w:r>
      <w:r w:rsidR="00E01D90">
        <w:rPr>
          <w:sz w:val="24"/>
          <w:szCs w:val="24"/>
          <w:lang w:val="en-GB"/>
        </w:rPr>
        <w:t xml:space="preserve">are mixed. </w:t>
      </w:r>
    </w:p>
    <w:p w14:paraId="3FF7AF59" w14:textId="5489845D" w:rsidR="005F12E7" w:rsidRDefault="00351969">
      <w:pPr>
        <w:spacing w:after="120" w:line="480" w:lineRule="auto"/>
        <w:jc w:val="both"/>
        <w:rPr>
          <w:sz w:val="24"/>
          <w:szCs w:val="24"/>
          <w:lang w:val="en-GB"/>
        </w:rPr>
      </w:pPr>
      <w:r>
        <w:rPr>
          <w:sz w:val="24"/>
          <w:szCs w:val="24"/>
          <w:lang w:val="en-GB"/>
        </w:rPr>
        <w:t xml:space="preserve">An option is to draw the linear </w:t>
      </w:r>
      <w:r w:rsidR="00B46DE0">
        <w:rPr>
          <w:sz w:val="24"/>
          <w:szCs w:val="24"/>
          <w:lang w:val="en-GB"/>
        </w:rPr>
        <w:t>association</w:t>
      </w:r>
      <w:r>
        <w:rPr>
          <w:sz w:val="24"/>
          <w:szCs w:val="24"/>
          <w:lang w:val="en-GB"/>
        </w:rPr>
        <w:t xml:space="preserve"> between logged-income and logged-wealth, </w:t>
      </w:r>
      <w:r w:rsidR="001718E6">
        <w:rPr>
          <w:sz w:val="24"/>
          <w:szCs w:val="24"/>
          <w:lang w:val="en-GB"/>
        </w:rPr>
        <w:t xml:space="preserve">as shown in Figure 3, </w:t>
      </w:r>
      <w:r>
        <w:rPr>
          <w:sz w:val="24"/>
          <w:szCs w:val="24"/>
          <w:lang w:val="en-GB"/>
        </w:rPr>
        <w:t>preferably above the median since the structuration of society in terms of income and wealth is less clear below the median</w:t>
      </w:r>
      <w:r w:rsidR="001718E6">
        <w:rPr>
          <w:sz w:val="24"/>
          <w:szCs w:val="24"/>
          <w:lang w:val="en-GB"/>
        </w:rPr>
        <w:t xml:space="preserve"> as</w:t>
      </w:r>
      <w:r>
        <w:rPr>
          <w:sz w:val="24"/>
          <w:szCs w:val="24"/>
          <w:lang w:val="en-GB"/>
        </w:rPr>
        <w:t xml:space="preserve"> the log of </w:t>
      </w:r>
      <w:r w:rsidR="00187C04">
        <w:rPr>
          <w:sz w:val="24"/>
          <w:szCs w:val="24"/>
          <w:lang w:val="en-GB"/>
        </w:rPr>
        <w:t xml:space="preserve">low incomes are unstable and </w:t>
      </w:r>
      <w:r w:rsidR="00CD146D">
        <w:rPr>
          <w:sz w:val="24"/>
          <w:szCs w:val="24"/>
          <w:lang w:val="en-GB"/>
        </w:rPr>
        <w:t>undefined for</w:t>
      </w:r>
      <w:r w:rsidR="001718E6">
        <w:rPr>
          <w:sz w:val="24"/>
          <w:szCs w:val="24"/>
          <w:lang w:val="en-GB"/>
        </w:rPr>
        <w:t xml:space="preserve"> zero and</w:t>
      </w:r>
      <w:r w:rsidR="00CD146D">
        <w:rPr>
          <w:sz w:val="24"/>
          <w:szCs w:val="24"/>
          <w:lang w:val="en-GB"/>
        </w:rPr>
        <w:t xml:space="preserve"> </w:t>
      </w:r>
      <w:r w:rsidR="00187C04">
        <w:rPr>
          <w:sz w:val="24"/>
          <w:szCs w:val="24"/>
          <w:lang w:val="en-GB"/>
        </w:rPr>
        <w:t>negative wealth</w:t>
      </w:r>
      <w:r>
        <w:rPr>
          <w:sz w:val="24"/>
          <w:szCs w:val="24"/>
          <w:lang w:val="en-GB"/>
        </w:rPr>
        <w:t xml:space="preserve">. </w:t>
      </w:r>
      <w:r w:rsidR="00FE332F">
        <w:rPr>
          <w:sz w:val="24"/>
          <w:szCs w:val="24"/>
          <w:lang w:val="en-GB"/>
        </w:rPr>
        <w:t xml:space="preserve">Structuration of higher income and wealth is much clearer. </w:t>
      </w:r>
      <w:r w:rsidR="00965615">
        <w:rPr>
          <w:sz w:val="24"/>
          <w:szCs w:val="24"/>
          <w:lang w:val="en-GB"/>
        </w:rPr>
        <w:t xml:space="preserve">This strategy of analysis </w:t>
      </w:r>
      <w:r w:rsidR="005F12E7">
        <w:rPr>
          <w:sz w:val="24"/>
          <w:szCs w:val="24"/>
          <w:lang w:val="en-GB"/>
        </w:rPr>
        <w:t>on a log-log graph is convenient since it theoretically allows a power tailed analysis of the joint distribution</w:t>
      </w:r>
      <w:r w:rsidR="00CD146D">
        <w:rPr>
          <w:sz w:val="24"/>
          <w:szCs w:val="24"/>
          <w:lang w:val="en-GB"/>
        </w:rPr>
        <w:t>.</w:t>
      </w:r>
      <w:r w:rsidR="00877B1E">
        <w:rPr>
          <w:sz w:val="24"/>
          <w:szCs w:val="24"/>
          <w:lang w:val="en-GB"/>
        </w:rPr>
        <w:t xml:space="preserve"> </w:t>
      </w:r>
      <w:r w:rsidR="00CD146D">
        <w:rPr>
          <w:sz w:val="24"/>
          <w:szCs w:val="24"/>
          <w:lang w:val="en-GB"/>
        </w:rPr>
        <w:t>A</w:t>
      </w:r>
      <w:r w:rsidR="00877B1E">
        <w:rPr>
          <w:sz w:val="24"/>
          <w:szCs w:val="24"/>
          <w:lang w:val="en-GB"/>
        </w:rPr>
        <w:t xml:space="preserve"> </w:t>
      </w:r>
      <w:r w:rsidR="00025822">
        <w:rPr>
          <w:sz w:val="24"/>
          <w:szCs w:val="24"/>
          <w:lang w:val="en-GB"/>
        </w:rPr>
        <w:t>difficulty in this type of analysis is to compare transformations over time: income and wealth distribution have their own structural dynamics of inequality so that it is difficult to assess where the shifts happened</w:t>
      </w:r>
      <w:r w:rsidR="005F12E7">
        <w:rPr>
          <w:sz w:val="24"/>
          <w:szCs w:val="24"/>
          <w:lang w:val="en-GB"/>
        </w:rPr>
        <w:t xml:space="preserve">. </w:t>
      </w:r>
      <w:r w:rsidR="00B56C16">
        <w:rPr>
          <w:sz w:val="24"/>
          <w:szCs w:val="24"/>
          <w:lang w:val="en-GB"/>
        </w:rPr>
        <w:t>Due to the double shift in wealth and in income Gini indices, and to the changing wealth</w:t>
      </w:r>
      <w:r w:rsidR="00B46DE0">
        <w:rPr>
          <w:sz w:val="24"/>
          <w:szCs w:val="24"/>
          <w:lang w:val="en-GB"/>
        </w:rPr>
        <w:t>-</w:t>
      </w:r>
      <w:r w:rsidR="00B56C16">
        <w:rPr>
          <w:sz w:val="24"/>
          <w:szCs w:val="24"/>
          <w:lang w:val="en-GB"/>
        </w:rPr>
        <w:t>to</w:t>
      </w:r>
      <w:r w:rsidR="00B46DE0">
        <w:rPr>
          <w:sz w:val="24"/>
          <w:szCs w:val="24"/>
          <w:lang w:val="en-GB"/>
        </w:rPr>
        <w:t>-</w:t>
      </w:r>
      <w:r w:rsidR="00B56C16">
        <w:rPr>
          <w:sz w:val="24"/>
          <w:szCs w:val="24"/>
          <w:lang w:val="en-GB"/>
        </w:rPr>
        <w:t>income ratio, the</w:t>
      </w:r>
      <w:r w:rsidR="00877B1E">
        <w:rPr>
          <w:sz w:val="24"/>
          <w:szCs w:val="24"/>
          <w:lang w:val="en-GB"/>
        </w:rPr>
        <w:t xml:space="preserve"> variation of</w:t>
      </w:r>
      <w:r w:rsidR="00B56C16">
        <w:rPr>
          <w:sz w:val="24"/>
          <w:szCs w:val="24"/>
          <w:lang w:val="en-GB"/>
        </w:rPr>
        <w:t xml:space="preserve"> </w:t>
      </w:r>
      <w:r w:rsidR="00877B1E">
        <w:rPr>
          <w:sz w:val="24"/>
          <w:szCs w:val="24"/>
          <w:lang w:val="en-GB"/>
        </w:rPr>
        <w:t xml:space="preserve">the </w:t>
      </w:r>
      <w:r w:rsidR="00B46DE0">
        <w:rPr>
          <w:sz w:val="24"/>
          <w:szCs w:val="24"/>
          <w:lang w:val="en-GB"/>
        </w:rPr>
        <w:t>R</w:t>
      </w:r>
      <w:r w:rsidR="00B56C16">
        <w:rPr>
          <w:sz w:val="24"/>
          <w:szCs w:val="24"/>
          <w:lang w:val="en-GB"/>
        </w:rPr>
        <w:t>-square</w:t>
      </w:r>
      <w:r w:rsidR="00B46DE0">
        <w:rPr>
          <w:sz w:val="24"/>
          <w:szCs w:val="24"/>
          <w:lang w:val="en-GB"/>
        </w:rPr>
        <w:t>d</w:t>
      </w:r>
      <w:r w:rsidR="00B56C16">
        <w:rPr>
          <w:sz w:val="24"/>
          <w:szCs w:val="24"/>
          <w:lang w:val="en-GB"/>
        </w:rPr>
        <w:t xml:space="preserve"> of the relation between wealth and income is unclear: is it reflecting stronger relation or increasing </w:t>
      </w:r>
      <w:r w:rsidR="00CD146D">
        <w:rPr>
          <w:sz w:val="24"/>
          <w:szCs w:val="24"/>
          <w:lang w:val="en-GB"/>
        </w:rPr>
        <w:t>inequality</w:t>
      </w:r>
      <w:r w:rsidR="00877B1E">
        <w:rPr>
          <w:sz w:val="24"/>
          <w:szCs w:val="24"/>
          <w:lang w:val="en-GB"/>
        </w:rPr>
        <w:t xml:space="preserve">? </w:t>
      </w:r>
      <w:r w:rsidR="002112A9">
        <w:rPr>
          <w:sz w:val="24"/>
          <w:szCs w:val="24"/>
          <w:lang w:val="en-GB"/>
        </w:rPr>
        <w:t>Therefore, a standardised measure of income and wealth is needed.</w:t>
      </w:r>
    </w:p>
    <w:p w14:paraId="7A35A6DC" w14:textId="77777777" w:rsidR="001F60F9" w:rsidRDefault="001F60F9">
      <w:pPr>
        <w:rPr>
          <w:i/>
          <w:sz w:val="24"/>
          <w:lang w:val="en-GB"/>
        </w:rPr>
      </w:pPr>
      <w:r>
        <w:rPr>
          <w:i/>
          <w:sz w:val="24"/>
          <w:lang w:val="en-GB"/>
        </w:rPr>
        <w:br w:type="page"/>
      </w:r>
    </w:p>
    <w:p w14:paraId="311DB50D" w14:textId="67BE7656" w:rsidR="00CD146D" w:rsidRDefault="00D9331D" w:rsidP="001505F1">
      <w:pPr>
        <w:spacing w:line="480" w:lineRule="auto"/>
        <w:rPr>
          <w:i/>
          <w:sz w:val="24"/>
          <w:lang w:val="en-GB"/>
        </w:rPr>
      </w:pPr>
      <w:r w:rsidRPr="00294E67">
        <w:rPr>
          <w:i/>
          <w:sz w:val="24"/>
          <w:lang w:val="en-GB"/>
        </w:rPr>
        <w:lastRenderedPageBreak/>
        <w:t xml:space="preserve">Figure </w:t>
      </w:r>
      <w:r w:rsidR="009F7091">
        <w:rPr>
          <w:i/>
          <w:sz w:val="24"/>
          <w:lang w:val="en-GB"/>
        </w:rPr>
        <w:t>3</w:t>
      </w:r>
      <w:r w:rsidRPr="00294E67">
        <w:rPr>
          <w:i/>
          <w:sz w:val="24"/>
          <w:lang w:val="en-GB"/>
        </w:rPr>
        <w:t xml:space="preserve">: </w:t>
      </w:r>
      <w:r w:rsidR="00EA5667">
        <w:rPr>
          <w:i/>
          <w:sz w:val="24"/>
          <w:lang w:val="en-GB"/>
        </w:rPr>
        <w:t xml:space="preserve"> Heat map of the density </w:t>
      </w:r>
      <w:r w:rsidR="00CD146D">
        <w:rPr>
          <w:i/>
          <w:sz w:val="24"/>
          <w:lang w:val="en-GB"/>
        </w:rPr>
        <w:t xml:space="preserve">of the </w:t>
      </w:r>
      <w:r w:rsidR="00B705F8">
        <w:rPr>
          <w:i/>
          <w:sz w:val="24"/>
          <w:lang w:val="en-GB"/>
        </w:rPr>
        <w:t>j</w:t>
      </w:r>
      <w:r w:rsidRPr="00294E67">
        <w:rPr>
          <w:i/>
          <w:sz w:val="24"/>
          <w:lang w:val="en-GB"/>
        </w:rPr>
        <w:t xml:space="preserve">oint </w:t>
      </w:r>
      <w:r w:rsidR="00B705F8">
        <w:rPr>
          <w:i/>
          <w:sz w:val="24"/>
          <w:lang w:val="en-GB"/>
        </w:rPr>
        <w:t>d</w:t>
      </w:r>
      <w:r w:rsidRPr="00294E67">
        <w:rPr>
          <w:i/>
          <w:sz w:val="24"/>
          <w:lang w:val="en-GB"/>
        </w:rPr>
        <w:t xml:space="preserve">istribution of </w:t>
      </w:r>
      <w:r w:rsidR="00B705F8">
        <w:rPr>
          <w:i/>
          <w:sz w:val="24"/>
          <w:lang w:val="en-GB"/>
        </w:rPr>
        <w:t>i</w:t>
      </w:r>
      <w:r w:rsidRPr="00294E67">
        <w:rPr>
          <w:i/>
          <w:sz w:val="24"/>
          <w:lang w:val="en-GB"/>
        </w:rPr>
        <w:t xml:space="preserve">ncome and </w:t>
      </w:r>
      <w:r w:rsidR="00B705F8">
        <w:rPr>
          <w:i/>
          <w:sz w:val="24"/>
          <w:lang w:val="en-GB"/>
        </w:rPr>
        <w:t>w</w:t>
      </w:r>
      <w:r w:rsidRPr="00294E67">
        <w:rPr>
          <w:i/>
          <w:sz w:val="24"/>
          <w:lang w:val="en-GB"/>
        </w:rPr>
        <w:t>ealth</w:t>
      </w:r>
      <w:r w:rsidR="000C4F8F">
        <w:rPr>
          <w:i/>
          <w:sz w:val="24"/>
          <w:lang w:val="en-GB"/>
        </w:rPr>
        <w:t xml:space="preserve"> for the upper half of the respective distributions</w:t>
      </w:r>
      <w:r w:rsidRPr="00294E67">
        <w:rPr>
          <w:i/>
          <w:sz w:val="24"/>
          <w:lang w:val="en-GB"/>
        </w:rPr>
        <w:t xml:space="preserve"> </w:t>
      </w:r>
      <w:r w:rsidR="00CD146D">
        <w:rPr>
          <w:i/>
          <w:sz w:val="24"/>
          <w:lang w:val="en-GB"/>
        </w:rPr>
        <w:t>(</w:t>
      </w:r>
      <w:r w:rsidR="001718E6">
        <w:rPr>
          <w:i/>
          <w:sz w:val="24"/>
          <w:lang w:val="en-GB"/>
        </w:rPr>
        <w:t xml:space="preserve">logarithmic </w:t>
      </w:r>
      <w:r w:rsidR="00CD146D">
        <w:rPr>
          <w:i/>
          <w:sz w:val="24"/>
          <w:lang w:val="en-GB"/>
        </w:rPr>
        <w:t>)</w:t>
      </w:r>
    </w:p>
    <w:p w14:paraId="686266CE" w14:textId="2B03E002" w:rsidR="00A60665" w:rsidRDefault="008A7A77" w:rsidP="001505F1">
      <w:pPr>
        <w:spacing w:after="120"/>
        <w:jc w:val="center"/>
        <w:rPr>
          <w:sz w:val="24"/>
          <w:szCs w:val="24"/>
          <w:lang w:val="en-GB"/>
        </w:rPr>
      </w:pPr>
      <w:r w:rsidRPr="008A7A77">
        <w:rPr>
          <w:noProof/>
          <w:lang w:val="en-US" w:eastAsia="en-US"/>
        </w:rPr>
        <w:drawing>
          <wp:inline distT="0" distB="0" distL="0" distR="0" wp14:anchorId="6F4DB75F" wp14:editId="6CC44F9A">
            <wp:extent cx="5768340" cy="4197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68340" cy="4197350"/>
                    </a:xfrm>
                    <a:prstGeom prst="rect">
                      <a:avLst/>
                    </a:prstGeom>
                  </pic:spPr>
                </pic:pic>
              </a:graphicData>
            </a:graphic>
          </wp:inline>
        </w:drawing>
      </w:r>
    </w:p>
    <w:p w14:paraId="2CEE80F4" w14:textId="16E367D1" w:rsidR="00D80CC9" w:rsidRPr="0013301D" w:rsidRDefault="00D9331D" w:rsidP="00C05061">
      <w:pPr>
        <w:spacing w:after="120"/>
        <w:jc w:val="both"/>
        <w:rPr>
          <w:szCs w:val="24"/>
          <w:lang w:val="en-GB"/>
        </w:rPr>
      </w:pPr>
      <w:r w:rsidRPr="00AC56B9">
        <w:rPr>
          <w:szCs w:val="24"/>
          <w:lang w:val="en-GB"/>
        </w:rPr>
        <w:t>Note: The X-axis represents the natural log of income. The Y-axis represents the natural log of wealth.</w:t>
      </w:r>
      <w:r w:rsidR="009F7091" w:rsidRPr="00AC56B9">
        <w:rPr>
          <w:szCs w:val="24"/>
          <w:lang w:val="en-GB"/>
        </w:rPr>
        <w:t xml:space="preserve"> Red areas represent high </w:t>
      </w:r>
      <w:r w:rsidR="009E7A3B">
        <w:rPr>
          <w:szCs w:val="24"/>
          <w:lang w:val="en-GB"/>
        </w:rPr>
        <w:t>density</w:t>
      </w:r>
      <w:r w:rsidR="009F7091" w:rsidRPr="00AC56B9">
        <w:rPr>
          <w:szCs w:val="24"/>
          <w:lang w:val="en-GB"/>
        </w:rPr>
        <w:t xml:space="preserve">. Blue areas represent low </w:t>
      </w:r>
      <w:r w:rsidR="009E7A3B">
        <w:rPr>
          <w:szCs w:val="24"/>
          <w:lang w:val="en-GB"/>
        </w:rPr>
        <w:t>density</w:t>
      </w:r>
      <w:r w:rsidR="009F7091" w:rsidRPr="00AC56B9">
        <w:rPr>
          <w:szCs w:val="24"/>
          <w:lang w:val="en-GB"/>
        </w:rPr>
        <w:t>.</w:t>
      </w:r>
      <w:r w:rsidR="00CD146D">
        <w:rPr>
          <w:szCs w:val="24"/>
          <w:lang w:val="en-GB"/>
        </w:rPr>
        <w:t xml:space="preserve"> </w:t>
      </w:r>
      <w:r w:rsidR="00D80CC9" w:rsidRPr="0013301D">
        <w:rPr>
          <w:szCs w:val="24"/>
          <w:lang w:val="en-GB"/>
        </w:rPr>
        <w:t xml:space="preserve">Source: </w:t>
      </w:r>
      <w:r w:rsidR="00191D78">
        <w:rPr>
          <w:szCs w:val="24"/>
          <w:lang w:val="en-GB"/>
        </w:rPr>
        <w:t>SCF</w:t>
      </w:r>
      <w:r w:rsidR="00D80CC9" w:rsidRPr="0013301D">
        <w:rPr>
          <w:szCs w:val="24"/>
          <w:lang w:val="en-GB"/>
        </w:rPr>
        <w:t>.</w:t>
      </w:r>
    </w:p>
    <w:p w14:paraId="6BC49678" w14:textId="77777777" w:rsidR="00877B1E" w:rsidRDefault="00877B1E" w:rsidP="00AF0CE3">
      <w:pPr>
        <w:spacing w:after="120" w:line="480" w:lineRule="auto"/>
        <w:jc w:val="both"/>
        <w:rPr>
          <w:sz w:val="24"/>
          <w:szCs w:val="24"/>
          <w:lang w:val="en-GB"/>
        </w:rPr>
      </w:pPr>
    </w:p>
    <w:p w14:paraId="6FCD7C0B" w14:textId="3DC978A3" w:rsidR="0032309C" w:rsidRDefault="009B75BC" w:rsidP="00AF0CE3">
      <w:pPr>
        <w:spacing w:after="120" w:line="480" w:lineRule="auto"/>
        <w:jc w:val="both"/>
        <w:rPr>
          <w:sz w:val="24"/>
          <w:szCs w:val="24"/>
          <w:lang w:val="en-GB"/>
        </w:rPr>
      </w:pPr>
      <w:r>
        <w:rPr>
          <w:sz w:val="24"/>
          <w:szCs w:val="24"/>
          <w:lang w:val="en-GB"/>
        </w:rPr>
        <w:t xml:space="preserve">Figure </w:t>
      </w:r>
      <w:r w:rsidR="00CD146D">
        <w:rPr>
          <w:sz w:val="24"/>
          <w:szCs w:val="24"/>
          <w:lang w:val="en-GB"/>
        </w:rPr>
        <w:t>4</w:t>
      </w:r>
      <w:r w:rsidR="00B46DE0">
        <w:rPr>
          <w:sz w:val="24"/>
          <w:szCs w:val="24"/>
          <w:lang w:val="en-GB"/>
        </w:rPr>
        <w:t xml:space="preserve"> shows </w:t>
      </w:r>
      <w:r w:rsidR="002112A9">
        <w:rPr>
          <w:sz w:val="24"/>
          <w:szCs w:val="24"/>
          <w:lang w:val="en-GB"/>
        </w:rPr>
        <w:t>the same results with</w:t>
      </w:r>
      <w:r>
        <w:rPr>
          <w:sz w:val="24"/>
          <w:szCs w:val="24"/>
          <w:lang w:val="en-GB"/>
        </w:rPr>
        <w:t xml:space="preserve"> </w:t>
      </w:r>
      <w:r w:rsidR="00025822">
        <w:rPr>
          <w:sz w:val="24"/>
          <w:szCs w:val="24"/>
          <w:lang w:val="en-GB"/>
        </w:rPr>
        <w:t xml:space="preserve">the logitrank transformation </w:t>
      </w:r>
      <w:r w:rsidR="002112A9">
        <w:rPr>
          <w:sz w:val="24"/>
          <w:szCs w:val="24"/>
          <w:lang w:val="en-GB"/>
        </w:rPr>
        <w:t>that allows</w:t>
      </w:r>
      <w:r w:rsidR="00025822">
        <w:rPr>
          <w:sz w:val="24"/>
          <w:szCs w:val="24"/>
          <w:lang w:val="en-GB"/>
        </w:rPr>
        <w:t xml:space="preserve"> comparing the observed moves</w:t>
      </w:r>
      <w:r w:rsidR="002112A9">
        <w:rPr>
          <w:sz w:val="24"/>
          <w:szCs w:val="24"/>
          <w:lang w:val="en-GB"/>
        </w:rPr>
        <w:t xml:space="preserve"> over time using a standardised scale</w:t>
      </w:r>
      <w:r w:rsidR="00025822">
        <w:rPr>
          <w:sz w:val="24"/>
          <w:szCs w:val="24"/>
          <w:lang w:val="en-GB"/>
        </w:rPr>
        <w:t xml:space="preserve">. </w:t>
      </w:r>
      <w:r w:rsidR="00B56C16">
        <w:rPr>
          <w:sz w:val="24"/>
          <w:szCs w:val="24"/>
          <w:lang w:val="en-GB"/>
        </w:rPr>
        <w:t xml:space="preserve">Logitranks of income and of wealth rescale the two resources in a space where the diagonal becomes a </w:t>
      </w:r>
      <w:r w:rsidR="00877B1E">
        <w:rPr>
          <w:sz w:val="24"/>
          <w:szCs w:val="24"/>
          <w:lang w:val="en-GB"/>
        </w:rPr>
        <w:t>transparent notion, where income and wealth rankings coincide</w:t>
      </w:r>
      <w:r w:rsidR="002112A9">
        <w:rPr>
          <w:sz w:val="24"/>
          <w:szCs w:val="24"/>
          <w:lang w:val="en-GB"/>
        </w:rPr>
        <w:t xml:space="preserve"> to a larger degree</w:t>
      </w:r>
      <w:r w:rsidR="00986899">
        <w:rPr>
          <w:sz w:val="24"/>
          <w:szCs w:val="24"/>
          <w:lang w:val="en-GB"/>
        </w:rPr>
        <w:t xml:space="preserve"> in the later observations than in 1995 and 2001</w:t>
      </w:r>
      <w:r w:rsidR="00877B1E">
        <w:rPr>
          <w:sz w:val="24"/>
          <w:szCs w:val="24"/>
          <w:lang w:val="en-GB"/>
        </w:rPr>
        <w:t>. Moreover, compared to the conventional 3D plots</w:t>
      </w:r>
      <w:r w:rsidR="00B46DE0">
        <w:rPr>
          <w:sz w:val="24"/>
          <w:szCs w:val="24"/>
          <w:lang w:val="en-GB"/>
        </w:rPr>
        <w:t xml:space="preserve"> (Figure 3)</w:t>
      </w:r>
      <w:r w:rsidR="00877B1E">
        <w:rPr>
          <w:sz w:val="24"/>
          <w:szCs w:val="24"/>
          <w:lang w:val="en-GB"/>
        </w:rPr>
        <w:t xml:space="preserve">, the upper part of the distribution keeps its detailed power tailed structure. </w:t>
      </w:r>
    </w:p>
    <w:p w14:paraId="386A1E20" w14:textId="77777777" w:rsidR="001F60F9" w:rsidRDefault="001F60F9">
      <w:pPr>
        <w:rPr>
          <w:i/>
          <w:sz w:val="24"/>
          <w:lang w:val="en-GB"/>
        </w:rPr>
      </w:pPr>
      <w:r>
        <w:rPr>
          <w:i/>
          <w:sz w:val="24"/>
          <w:lang w:val="en-GB"/>
        </w:rPr>
        <w:br w:type="page"/>
      </w:r>
    </w:p>
    <w:p w14:paraId="2DAD92E6" w14:textId="774F4DD7" w:rsidR="008B61CB" w:rsidRDefault="00D07203" w:rsidP="008B61CB">
      <w:pPr>
        <w:spacing w:after="120" w:line="480" w:lineRule="auto"/>
        <w:jc w:val="both"/>
        <w:rPr>
          <w:i/>
          <w:sz w:val="24"/>
          <w:lang w:val="en-GB"/>
        </w:rPr>
      </w:pPr>
      <w:r w:rsidRPr="00294E67">
        <w:rPr>
          <w:i/>
          <w:sz w:val="24"/>
          <w:lang w:val="en-GB"/>
        </w:rPr>
        <w:lastRenderedPageBreak/>
        <w:t xml:space="preserve">Figure </w:t>
      </w:r>
      <w:r>
        <w:rPr>
          <w:i/>
          <w:sz w:val="24"/>
          <w:lang w:val="en-GB"/>
        </w:rPr>
        <w:t>4</w:t>
      </w:r>
      <w:r w:rsidRPr="00294E67">
        <w:rPr>
          <w:i/>
          <w:sz w:val="24"/>
          <w:lang w:val="en-GB"/>
        </w:rPr>
        <w:t xml:space="preserve">: </w:t>
      </w:r>
      <w:r>
        <w:rPr>
          <w:i/>
          <w:sz w:val="24"/>
          <w:lang w:val="en-GB"/>
        </w:rPr>
        <w:t xml:space="preserve"> Heat map of the density of the j</w:t>
      </w:r>
      <w:r w:rsidRPr="00294E67">
        <w:rPr>
          <w:i/>
          <w:sz w:val="24"/>
          <w:lang w:val="en-GB"/>
        </w:rPr>
        <w:t xml:space="preserve">oint </w:t>
      </w:r>
      <w:r>
        <w:rPr>
          <w:i/>
          <w:sz w:val="24"/>
          <w:lang w:val="en-GB"/>
        </w:rPr>
        <w:t>d</w:t>
      </w:r>
      <w:r w:rsidRPr="00294E67">
        <w:rPr>
          <w:i/>
          <w:sz w:val="24"/>
          <w:lang w:val="en-GB"/>
        </w:rPr>
        <w:t xml:space="preserve">istribution of </w:t>
      </w:r>
      <w:r>
        <w:rPr>
          <w:i/>
          <w:sz w:val="24"/>
          <w:lang w:val="en-GB"/>
        </w:rPr>
        <w:t>i</w:t>
      </w:r>
      <w:r w:rsidRPr="00294E67">
        <w:rPr>
          <w:i/>
          <w:sz w:val="24"/>
          <w:lang w:val="en-GB"/>
        </w:rPr>
        <w:t xml:space="preserve">ncome and </w:t>
      </w:r>
      <w:r>
        <w:rPr>
          <w:i/>
          <w:sz w:val="24"/>
          <w:lang w:val="en-GB"/>
        </w:rPr>
        <w:t>w</w:t>
      </w:r>
      <w:r w:rsidRPr="00294E67">
        <w:rPr>
          <w:i/>
          <w:sz w:val="24"/>
          <w:lang w:val="en-GB"/>
        </w:rPr>
        <w:t>ealth</w:t>
      </w:r>
      <w:r>
        <w:rPr>
          <w:i/>
          <w:sz w:val="24"/>
          <w:lang w:val="en-GB"/>
        </w:rPr>
        <w:t xml:space="preserve"> for the upper half of the respective distributions</w:t>
      </w:r>
      <w:r w:rsidRPr="00294E67">
        <w:rPr>
          <w:i/>
          <w:sz w:val="24"/>
          <w:lang w:val="en-GB"/>
        </w:rPr>
        <w:t xml:space="preserve"> </w:t>
      </w:r>
      <w:r>
        <w:rPr>
          <w:i/>
          <w:sz w:val="24"/>
          <w:lang w:val="en-GB"/>
        </w:rPr>
        <w:t>(logitrank)</w:t>
      </w:r>
    </w:p>
    <w:p w14:paraId="227298C3" w14:textId="364F9780" w:rsidR="00656DC7" w:rsidRDefault="0042349A" w:rsidP="008B61CB">
      <w:pPr>
        <w:spacing w:after="120" w:line="480" w:lineRule="auto"/>
        <w:jc w:val="both"/>
        <w:rPr>
          <w:sz w:val="24"/>
          <w:szCs w:val="24"/>
          <w:lang w:val="en-GB"/>
        </w:rPr>
      </w:pPr>
      <w:r w:rsidRPr="0042349A">
        <w:rPr>
          <w:noProof/>
          <w:sz w:val="24"/>
          <w:szCs w:val="24"/>
          <w:lang w:val="en-US" w:eastAsia="en-US"/>
        </w:rPr>
        <w:drawing>
          <wp:inline distT="0" distB="0" distL="0" distR="0" wp14:anchorId="30B926B5" wp14:editId="40A86E82">
            <wp:extent cx="5768340" cy="4197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768340" cy="4197350"/>
                    </a:xfrm>
                    <a:prstGeom prst="rect">
                      <a:avLst/>
                    </a:prstGeom>
                  </pic:spPr>
                </pic:pic>
              </a:graphicData>
            </a:graphic>
          </wp:inline>
        </w:drawing>
      </w:r>
    </w:p>
    <w:p w14:paraId="4CE09FEC" w14:textId="66AA4B27" w:rsidR="009F7091" w:rsidRPr="0013301D" w:rsidRDefault="009F7091" w:rsidP="00C05061">
      <w:pPr>
        <w:spacing w:after="120"/>
        <w:jc w:val="both"/>
        <w:rPr>
          <w:szCs w:val="24"/>
          <w:lang w:val="en-GB"/>
        </w:rPr>
      </w:pPr>
      <w:r w:rsidRPr="00294E67">
        <w:rPr>
          <w:szCs w:val="24"/>
          <w:lang w:val="en-GB"/>
        </w:rPr>
        <w:t>Note: The X-axis represents the log</w:t>
      </w:r>
      <w:r>
        <w:rPr>
          <w:szCs w:val="24"/>
          <w:lang w:val="en-GB"/>
        </w:rPr>
        <w:t>itrank</w:t>
      </w:r>
      <w:r w:rsidRPr="00294E67">
        <w:rPr>
          <w:szCs w:val="24"/>
          <w:lang w:val="en-GB"/>
        </w:rPr>
        <w:t xml:space="preserve"> of income</w:t>
      </w:r>
      <w:r w:rsidR="000C4F8F">
        <w:rPr>
          <w:szCs w:val="24"/>
          <w:lang w:val="en-GB"/>
        </w:rPr>
        <w:t xml:space="preserve"> above the median (X=0)</w:t>
      </w:r>
      <w:r w:rsidRPr="00294E67">
        <w:rPr>
          <w:szCs w:val="24"/>
          <w:lang w:val="en-GB"/>
        </w:rPr>
        <w:t xml:space="preserve">. The Y-axis represents the </w:t>
      </w:r>
      <w:r>
        <w:rPr>
          <w:szCs w:val="24"/>
          <w:lang w:val="en-GB"/>
        </w:rPr>
        <w:t>logitrank</w:t>
      </w:r>
      <w:r w:rsidRPr="00294E67">
        <w:rPr>
          <w:szCs w:val="24"/>
          <w:lang w:val="en-GB"/>
        </w:rPr>
        <w:t xml:space="preserve"> of wealth</w:t>
      </w:r>
      <w:r w:rsidR="000C4F8F" w:rsidRPr="000C4F8F">
        <w:rPr>
          <w:szCs w:val="24"/>
          <w:lang w:val="en-GB"/>
        </w:rPr>
        <w:t xml:space="preserve"> </w:t>
      </w:r>
      <w:r w:rsidR="000C4F8F">
        <w:rPr>
          <w:szCs w:val="24"/>
          <w:lang w:val="en-GB"/>
        </w:rPr>
        <w:t>above the median (Y=0)</w:t>
      </w:r>
      <w:r w:rsidRPr="00294E67">
        <w:rPr>
          <w:szCs w:val="24"/>
          <w:lang w:val="en-GB"/>
        </w:rPr>
        <w:t xml:space="preserve">. Red areas represent high </w:t>
      </w:r>
      <w:r w:rsidR="007A1817">
        <w:rPr>
          <w:szCs w:val="24"/>
          <w:lang w:val="en-GB"/>
        </w:rPr>
        <w:t>density</w:t>
      </w:r>
      <w:r w:rsidRPr="00294E67">
        <w:rPr>
          <w:szCs w:val="24"/>
          <w:lang w:val="en-GB"/>
        </w:rPr>
        <w:t xml:space="preserve">. Blue areas represent low </w:t>
      </w:r>
      <w:r w:rsidR="007A1817">
        <w:rPr>
          <w:szCs w:val="24"/>
          <w:lang w:val="en-GB"/>
        </w:rPr>
        <w:t>density</w:t>
      </w:r>
      <w:r w:rsidRPr="00294E67">
        <w:rPr>
          <w:szCs w:val="24"/>
          <w:lang w:val="en-GB"/>
        </w:rPr>
        <w:t>.</w:t>
      </w:r>
      <w:r w:rsidR="007A1817">
        <w:rPr>
          <w:szCs w:val="24"/>
          <w:lang w:val="en-GB"/>
        </w:rPr>
        <w:t xml:space="preserve"> Interval width=.25</w:t>
      </w:r>
      <w:r w:rsidR="00C05061">
        <w:rPr>
          <w:szCs w:val="24"/>
          <w:lang w:val="en-GB"/>
        </w:rPr>
        <w:t xml:space="preserve"> </w:t>
      </w:r>
      <w:r w:rsidRPr="0013301D">
        <w:rPr>
          <w:szCs w:val="24"/>
          <w:lang w:val="en-GB"/>
        </w:rPr>
        <w:t xml:space="preserve">Source: </w:t>
      </w:r>
      <w:r w:rsidR="00191D78">
        <w:rPr>
          <w:szCs w:val="24"/>
          <w:lang w:val="en-GB"/>
        </w:rPr>
        <w:t>SCF</w:t>
      </w:r>
      <w:r w:rsidRPr="0013301D">
        <w:rPr>
          <w:szCs w:val="24"/>
          <w:lang w:val="en-GB"/>
        </w:rPr>
        <w:t>.</w:t>
      </w:r>
    </w:p>
    <w:p w14:paraId="21722D88" w14:textId="77777777" w:rsidR="00856F8A" w:rsidRDefault="00856F8A" w:rsidP="00AF0CE3">
      <w:pPr>
        <w:spacing w:after="120" w:line="480" w:lineRule="auto"/>
        <w:jc w:val="both"/>
        <w:rPr>
          <w:sz w:val="24"/>
          <w:szCs w:val="24"/>
          <w:lang w:val="en-GB"/>
        </w:rPr>
      </w:pPr>
    </w:p>
    <w:p w14:paraId="5E9885A1" w14:textId="2A4A2EE2" w:rsidR="00965615" w:rsidRDefault="00D46F11" w:rsidP="00AC56B9">
      <w:pPr>
        <w:spacing w:after="120" w:line="480" w:lineRule="auto"/>
        <w:jc w:val="both"/>
        <w:rPr>
          <w:sz w:val="24"/>
          <w:szCs w:val="24"/>
          <w:lang w:val="en-GB"/>
        </w:rPr>
      </w:pPr>
      <w:r>
        <w:rPr>
          <w:sz w:val="24"/>
          <w:szCs w:val="24"/>
          <w:lang w:val="en-GB"/>
        </w:rPr>
        <w:t>A relevant definition of income and wealth relevance is the degree to which ranks in income and in wealth coincide in the upper half of the distribution. We consider the explained variation (R-squared) of the linear regression as a measure of coherence between income and wealth ranks or</w:t>
      </w:r>
      <w:r w:rsidRPr="00D46F11">
        <w:rPr>
          <w:sz w:val="24"/>
          <w:szCs w:val="24"/>
          <w:lang w:val="en-GB"/>
        </w:rPr>
        <w:t xml:space="preserve"> </w:t>
      </w:r>
      <w:r>
        <w:rPr>
          <w:sz w:val="24"/>
          <w:szCs w:val="24"/>
          <w:lang w:val="en-GB"/>
        </w:rPr>
        <w:t xml:space="preserve">the degree to which the two rankings coincide in the upper half of the income and wealth distribution. </w:t>
      </w:r>
      <w:r w:rsidR="002F2AC0">
        <w:rPr>
          <w:sz w:val="24"/>
          <w:szCs w:val="24"/>
          <w:lang w:val="en-GB"/>
        </w:rPr>
        <w:t xml:space="preserve">Figure </w:t>
      </w:r>
      <w:r w:rsidR="009F7091">
        <w:rPr>
          <w:sz w:val="24"/>
          <w:szCs w:val="24"/>
          <w:lang w:val="en-GB"/>
        </w:rPr>
        <w:t>5</w:t>
      </w:r>
      <w:r w:rsidR="002F2AC0">
        <w:rPr>
          <w:sz w:val="24"/>
          <w:szCs w:val="24"/>
          <w:lang w:val="en-GB"/>
        </w:rPr>
        <w:t xml:space="preserve"> depicts changes in the</w:t>
      </w:r>
      <w:r>
        <w:rPr>
          <w:sz w:val="24"/>
          <w:szCs w:val="24"/>
          <w:lang w:val="en-GB"/>
        </w:rPr>
        <w:t>se</w:t>
      </w:r>
      <w:r w:rsidR="002F2AC0">
        <w:rPr>
          <w:sz w:val="24"/>
          <w:szCs w:val="24"/>
          <w:lang w:val="en-GB"/>
        </w:rPr>
        <w:t xml:space="preserve"> </w:t>
      </w:r>
      <w:r w:rsidR="003066DA">
        <w:rPr>
          <w:sz w:val="24"/>
          <w:szCs w:val="24"/>
          <w:lang w:val="en-GB"/>
        </w:rPr>
        <w:t>coefficient of determination</w:t>
      </w:r>
      <w:r w:rsidR="002F2AC0">
        <w:rPr>
          <w:sz w:val="24"/>
          <w:szCs w:val="24"/>
          <w:lang w:val="en-GB"/>
        </w:rPr>
        <w:t xml:space="preserve"> </w:t>
      </w:r>
      <w:r w:rsidR="003066DA">
        <w:rPr>
          <w:sz w:val="24"/>
          <w:szCs w:val="24"/>
          <w:lang w:val="en-GB"/>
        </w:rPr>
        <w:t xml:space="preserve">between the variables </w:t>
      </w:r>
      <w:r w:rsidR="002F2AC0">
        <w:rPr>
          <w:sz w:val="24"/>
          <w:szCs w:val="24"/>
          <w:lang w:val="en-GB"/>
        </w:rPr>
        <w:t>income and wealth</w:t>
      </w:r>
      <w:r w:rsidR="003066DA">
        <w:rPr>
          <w:sz w:val="24"/>
          <w:szCs w:val="24"/>
          <w:lang w:val="en-GB"/>
        </w:rPr>
        <w:t>,</w:t>
      </w:r>
      <w:r w:rsidR="002F2AC0">
        <w:rPr>
          <w:sz w:val="24"/>
          <w:szCs w:val="24"/>
          <w:lang w:val="en-GB"/>
        </w:rPr>
        <w:t xml:space="preserve"> in log and logitranks</w:t>
      </w:r>
      <w:r w:rsidR="000C4F8F">
        <w:rPr>
          <w:sz w:val="24"/>
          <w:szCs w:val="24"/>
          <w:lang w:val="en-GB"/>
        </w:rPr>
        <w:t xml:space="preserve"> </w:t>
      </w:r>
      <w:r w:rsidR="003066DA">
        <w:rPr>
          <w:sz w:val="24"/>
          <w:szCs w:val="24"/>
          <w:lang w:val="en-GB"/>
        </w:rPr>
        <w:t xml:space="preserve">respectively, </w:t>
      </w:r>
      <w:r w:rsidR="000C4F8F">
        <w:rPr>
          <w:sz w:val="24"/>
          <w:szCs w:val="24"/>
          <w:lang w:val="en-GB"/>
        </w:rPr>
        <w:t>for values above the median</w:t>
      </w:r>
      <w:r w:rsidR="002F2AC0">
        <w:rPr>
          <w:sz w:val="24"/>
          <w:szCs w:val="24"/>
          <w:lang w:val="en-GB"/>
        </w:rPr>
        <w:t xml:space="preserve">. </w:t>
      </w:r>
      <w:r>
        <w:rPr>
          <w:sz w:val="24"/>
          <w:szCs w:val="24"/>
          <w:lang w:val="en-GB"/>
        </w:rPr>
        <w:t>It</w:t>
      </w:r>
      <w:r w:rsidR="00756DFA">
        <w:rPr>
          <w:sz w:val="24"/>
          <w:szCs w:val="24"/>
          <w:lang w:val="en-GB"/>
        </w:rPr>
        <w:t xml:space="preserve"> confirms the third aspect of income and wealth inequality</w:t>
      </w:r>
      <w:r w:rsidR="00071B48">
        <w:rPr>
          <w:sz w:val="24"/>
          <w:szCs w:val="24"/>
          <w:lang w:val="en-GB"/>
        </w:rPr>
        <w:t xml:space="preserve">, </w:t>
      </w:r>
      <w:r>
        <w:rPr>
          <w:sz w:val="24"/>
          <w:szCs w:val="24"/>
          <w:lang w:val="en-GB"/>
        </w:rPr>
        <w:t xml:space="preserve">namely </w:t>
      </w:r>
      <w:r w:rsidR="00756DFA">
        <w:rPr>
          <w:sz w:val="24"/>
          <w:szCs w:val="24"/>
          <w:lang w:val="en-GB"/>
        </w:rPr>
        <w:t xml:space="preserve">an increasing coherence </w:t>
      </w:r>
      <w:r w:rsidR="00D07203">
        <w:rPr>
          <w:sz w:val="24"/>
          <w:szCs w:val="24"/>
          <w:lang w:val="en-GB"/>
        </w:rPr>
        <w:t xml:space="preserve">in </w:t>
      </w:r>
      <w:r w:rsidR="00D07203">
        <w:rPr>
          <w:sz w:val="24"/>
          <w:szCs w:val="24"/>
          <w:lang w:val="en-GB"/>
        </w:rPr>
        <w:lastRenderedPageBreak/>
        <w:t xml:space="preserve">the rankings </w:t>
      </w:r>
      <w:r w:rsidR="00756DFA">
        <w:rPr>
          <w:sz w:val="24"/>
          <w:szCs w:val="24"/>
          <w:lang w:val="en-GB"/>
        </w:rPr>
        <w:t>of income and wealth</w:t>
      </w:r>
      <w:r w:rsidR="0037380C">
        <w:rPr>
          <w:sz w:val="24"/>
          <w:szCs w:val="24"/>
          <w:lang w:val="en-GB"/>
        </w:rPr>
        <w:t xml:space="preserve"> peaking in 2007 and remaining stable in the years after</w:t>
      </w:r>
      <w:r w:rsidR="00856F8A">
        <w:rPr>
          <w:rStyle w:val="FootnoteReference"/>
          <w:sz w:val="24"/>
          <w:szCs w:val="24"/>
          <w:lang w:val="en-GB"/>
        </w:rPr>
        <w:footnoteReference w:id="5"/>
      </w:r>
      <w:r w:rsidR="00D07203">
        <w:rPr>
          <w:sz w:val="24"/>
          <w:szCs w:val="24"/>
          <w:lang w:val="en-GB"/>
        </w:rPr>
        <w:t xml:space="preserve">: the Income rich and the wealthy are more often the same ones. </w:t>
      </w:r>
    </w:p>
    <w:p w14:paraId="2E08F671" w14:textId="48F1E835" w:rsidR="00D9331D" w:rsidRDefault="00D9331D" w:rsidP="00D9331D">
      <w:pPr>
        <w:spacing w:after="120" w:line="480" w:lineRule="auto"/>
        <w:jc w:val="both"/>
        <w:rPr>
          <w:i/>
          <w:sz w:val="24"/>
          <w:szCs w:val="24"/>
          <w:lang w:val="en-GB"/>
        </w:rPr>
      </w:pPr>
      <w:r w:rsidRPr="00DD0D8A">
        <w:rPr>
          <w:i/>
          <w:sz w:val="24"/>
          <w:szCs w:val="24"/>
          <w:lang w:val="en-GB"/>
        </w:rPr>
        <w:t>Figure 5: Income</w:t>
      </w:r>
      <w:r>
        <w:rPr>
          <w:i/>
          <w:sz w:val="24"/>
          <w:szCs w:val="24"/>
          <w:lang w:val="en-GB"/>
        </w:rPr>
        <w:t>-</w:t>
      </w:r>
      <w:r w:rsidRPr="00DD0D8A">
        <w:rPr>
          <w:i/>
          <w:sz w:val="24"/>
          <w:szCs w:val="24"/>
          <w:lang w:val="en-GB"/>
        </w:rPr>
        <w:t xml:space="preserve">Wealth </w:t>
      </w:r>
      <w:r w:rsidR="00646EE2">
        <w:rPr>
          <w:i/>
          <w:sz w:val="24"/>
          <w:szCs w:val="24"/>
          <w:lang w:val="en-GB"/>
        </w:rPr>
        <w:t>a</w:t>
      </w:r>
      <w:r w:rsidRPr="00DD0D8A">
        <w:rPr>
          <w:i/>
          <w:sz w:val="24"/>
          <w:szCs w:val="24"/>
          <w:lang w:val="en-GB"/>
        </w:rPr>
        <w:t xml:space="preserve">ssociations in </w:t>
      </w:r>
      <w:r w:rsidR="00646EE2">
        <w:rPr>
          <w:i/>
          <w:sz w:val="24"/>
          <w:szCs w:val="24"/>
          <w:lang w:val="en-GB"/>
        </w:rPr>
        <w:t>l</w:t>
      </w:r>
      <w:r w:rsidRPr="00DD0D8A">
        <w:rPr>
          <w:i/>
          <w:sz w:val="24"/>
          <w:szCs w:val="24"/>
          <w:lang w:val="en-GB"/>
        </w:rPr>
        <w:t xml:space="preserve">og </w:t>
      </w:r>
      <w:r>
        <w:rPr>
          <w:i/>
          <w:sz w:val="24"/>
          <w:szCs w:val="24"/>
          <w:lang w:val="en-GB"/>
        </w:rPr>
        <w:t xml:space="preserve">(left) </w:t>
      </w:r>
      <w:r w:rsidRPr="00DD0D8A">
        <w:rPr>
          <w:i/>
          <w:sz w:val="24"/>
          <w:szCs w:val="24"/>
          <w:lang w:val="en-GB"/>
        </w:rPr>
        <w:t xml:space="preserve">and </w:t>
      </w:r>
      <w:r w:rsidR="00646EE2">
        <w:rPr>
          <w:i/>
          <w:sz w:val="24"/>
          <w:szCs w:val="24"/>
          <w:lang w:val="en-GB"/>
        </w:rPr>
        <w:t>l</w:t>
      </w:r>
      <w:r w:rsidRPr="00DD0D8A">
        <w:rPr>
          <w:i/>
          <w:sz w:val="24"/>
          <w:szCs w:val="24"/>
          <w:lang w:val="en-GB"/>
        </w:rPr>
        <w:t xml:space="preserve">ogitranks </w:t>
      </w:r>
      <w:r>
        <w:rPr>
          <w:i/>
          <w:sz w:val="24"/>
          <w:szCs w:val="24"/>
          <w:lang w:val="en-GB"/>
        </w:rPr>
        <w:t xml:space="preserve">(right) </w:t>
      </w:r>
      <w:r w:rsidR="00A934F5">
        <w:rPr>
          <w:i/>
          <w:sz w:val="24"/>
          <w:szCs w:val="24"/>
          <w:lang w:val="en-GB"/>
        </w:rPr>
        <w:t xml:space="preserve">in the upper half of the respective distribution </w:t>
      </w:r>
      <w:r w:rsidRPr="00DD0D8A">
        <w:rPr>
          <w:i/>
          <w:sz w:val="24"/>
          <w:szCs w:val="24"/>
          <w:lang w:val="en-GB"/>
        </w:rPr>
        <w:t>(</w:t>
      </w:r>
      <w:r w:rsidRPr="00294E67">
        <w:rPr>
          <w:i/>
          <w:sz w:val="24"/>
          <w:lang w:val="en-GB"/>
        </w:rPr>
        <w:t>1995</w:t>
      </w:r>
      <w:r w:rsidRPr="00DD0D8A">
        <w:rPr>
          <w:i/>
          <w:sz w:val="24"/>
          <w:szCs w:val="24"/>
          <w:lang w:val="en-GB"/>
        </w:rPr>
        <w:t xml:space="preserve">-2013) </w:t>
      </w:r>
    </w:p>
    <w:p w14:paraId="0893235B" w14:textId="03660A8E" w:rsidR="00D9331D" w:rsidRPr="00DD0D8A" w:rsidRDefault="00FA06E0" w:rsidP="001505F1">
      <w:pPr>
        <w:spacing w:after="120"/>
        <w:jc w:val="center"/>
        <w:rPr>
          <w:i/>
          <w:sz w:val="24"/>
          <w:szCs w:val="24"/>
          <w:lang w:val="en-GB"/>
        </w:rPr>
      </w:pPr>
      <w:r w:rsidRPr="001505F1">
        <w:rPr>
          <w:noProof/>
          <w:lang w:val="en-US"/>
        </w:rPr>
        <w:t xml:space="preserve"> </w:t>
      </w:r>
      <w:r w:rsidRPr="00FA06E0">
        <w:rPr>
          <w:i/>
          <w:noProof/>
          <w:sz w:val="24"/>
          <w:szCs w:val="24"/>
          <w:lang w:val="en-US" w:eastAsia="en-US"/>
        </w:rPr>
        <w:drawing>
          <wp:inline distT="0" distB="0" distL="0" distR="0" wp14:anchorId="137D7132" wp14:editId="761B1372">
            <wp:extent cx="4313610" cy="3081866"/>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327072" cy="3091484"/>
                    </a:xfrm>
                    <a:prstGeom prst="rect">
                      <a:avLst/>
                    </a:prstGeom>
                  </pic:spPr>
                </pic:pic>
              </a:graphicData>
            </a:graphic>
          </wp:inline>
        </w:drawing>
      </w:r>
    </w:p>
    <w:p w14:paraId="3F41B160" w14:textId="7AF54D7E" w:rsidR="00D80CC9" w:rsidRPr="00AC56B9" w:rsidRDefault="009F7091" w:rsidP="00D80CC9">
      <w:pPr>
        <w:spacing w:after="120" w:line="480" w:lineRule="auto"/>
        <w:jc w:val="both"/>
        <w:rPr>
          <w:szCs w:val="24"/>
          <w:lang w:val="en-GB"/>
        </w:rPr>
      </w:pPr>
      <w:r>
        <w:rPr>
          <w:szCs w:val="24"/>
          <w:lang w:val="en-GB"/>
        </w:rPr>
        <w:t>Note: the X-axis represents the year of survey. The Y-axis represents the value of the R</w:t>
      </w:r>
      <w:r>
        <w:rPr>
          <w:szCs w:val="24"/>
          <w:vertAlign w:val="superscript"/>
          <w:lang w:val="en-GB"/>
        </w:rPr>
        <w:t>2</w:t>
      </w:r>
      <w:r>
        <w:rPr>
          <w:szCs w:val="24"/>
          <w:lang w:val="en-GB"/>
        </w:rPr>
        <w:t xml:space="preserve">. </w:t>
      </w:r>
      <w:r w:rsidR="00C05061">
        <w:rPr>
          <w:szCs w:val="24"/>
          <w:lang w:val="en-GB"/>
        </w:rPr>
        <w:t xml:space="preserve"> </w:t>
      </w:r>
      <w:r w:rsidR="0049049A">
        <w:rPr>
          <w:szCs w:val="24"/>
          <w:lang w:val="en-GB"/>
        </w:rPr>
        <w:t>Source: LWS (US-SCF).</w:t>
      </w:r>
    </w:p>
    <w:p w14:paraId="140C76E3" w14:textId="784C0F47" w:rsidR="009930D2" w:rsidRDefault="009930D2" w:rsidP="00AC56B9">
      <w:pPr>
        <w:spacing w:after="120" w:line="480" w:lineRule="auto"/>
        <w:jc w:val="both"/>
        <w:rPr>
          <w:i/>
          <w:sz w:val="24"/>
          <w:szCs w:val="24"/>
          <w:lang w:val="en-GB"/>
        </w:rPr>
      </w:pPr>
    </w:p>
    <w:p w14:paraId="3578FED6" w14:textId="77777777" w:rsidR="007D7383" w:rsidRPr="001A073F" w:rsidRDefault="007D7383" w:rsidP="005B59D0">
      <w:pPr>
        <w:spacing w:after="120" w:line="480" w:lineRule="auto"/>
        <w:jc w:val="both"/>
        <w:outlineLvl w:val="0"/>
        <w:rPr>
          <w:i/>
          <w:sz w:val="24"/>
          <w:szCs w:val="24"/>
          <w:rtl/>
          <w:lang w:val="en-GB" w:bidi="he-IL"/>
        </w:rPr>
      </w:pPr>
      <w:r>
        <w:rPr>
          <w:i/>
          <w:sz w:val="24"/>
          <w:szCs w:val="24"/>
          <w:lang w:val="en-GB"/>
        </w:rPr>
        <w:t xml:space="preserve">Increasing importance of </w:t>
      </w:r>
      <w:r w:rsidRPr="001A073F">
        <w:rPr>
          <w:i/>
          <w:sz w:val="24"/>
          <w:szCs w:val="24"/>
          <w:lang w:val="en-GB"/>
        </w:rPr>
        <w:t xml:space="preserve">wealth </w:t>
      </w:r>
      <w:r>
        <w:rPr>
          <w:i/>
          <w:sz w:val="24"/>
          <w:szCs w:val="24"/>
          <w:lang w:val="en-GB"/>
        </w:rPr>
        <w:t xml:space="preserve">(over income) in inequality </w:t>
      </w:r>
    </w:p>
    <w:p w14:paraId="7DD524FD" w14:textId="6DFD7B46" w:rsidR="007D7383" w:rsidRDefault="007D7383" w:rsidP="00170A14">
      <w:pPr>
        <w:spacing w:after="120" w:line="480" w:lineRule="auto"/>
        <w:jc w:val="both"/>
        <w:rPr>
          <w:sz w:val="24"/>
          <w:szCs w:val="24"/>
          <w:lang w:val="en-GB"/>
        </w:rPr>
      </w:pPr>
      <w:r>
        <w:rPr>
          <w:sz w:val="24"/>
          <w:szCs w:val="24"/>
          <w:lang w:val="en-GB"/>
        </w:rPr>
        <w:t xml:space="preserve">The fourth aspect of this analysis is devoted to the </w:t>
      </w:r>
      <w:r w:rsidR="00A934F5">
        <w:rPr>
          <w:sz w:val="24"/>
          <w:szCs w:val="24"/>
          <w:lang w:val="en-GB"/>
        </w:rPr>
        <w:t>wealth-to-income</w:t>
      </w:r>
      <w:r>
        <w:rPr>
          <w:sz w:val="24"/>
          <w:szCs w:val="24"/>
          <w:lang w:val="en-GB"/>
        </w:rPr>
        <w:t xml:space="preserve"> ratio</w:t>
      </w:r>
      <w:r w:rsidR="002808F6">
        <w:rPr>
          <w:sz w:val="24"/>
          <w:szCs w:val="24"/>
          <w:lang w:val="en-GB"/>
        </w:rPr>
        <w:t xml:space="preserve"> </w:t>
      </w:r>
      <w:r w:rsidR="002808F6" w:rsidRPr="001632D6">
        <w:rPr>
          <w:sz w:val="24"/>
          <w:lang w:val="en-US"/>
        </w:rPr>
        <w:t>(Stiglitz, 1969)</w:t>
      </w:r>
      <w:r>
        <w:rPr>
          <w:sz w:val="24"/>
          <w:szCs w:val="24"/>
          <w:lang w:val="en-GB"/>
        </w:rPr>
        <w:t>. This ratio is of importance for three main reasons. First,</w:t>
      </w:r>
      <w:r w:rsidR="001A59D4">
        <w:rPr>
          <w:sz w:val="24"/>
          <w:szCs w:val="24"/>
          <w:lang w:val="en-GB"/>
        </w:rPr>
        <w:t xml:space="preserve"> at the macro level,</w:t>
      </w:r>
      <w:r>
        <w:rPr>
          <w:sz w:val="24"/>
          <w:szCs w:val="24"/>
          <w:lang w:val="en-GB"/>
        </w:rPr>
        <w:t xml:space="preserve"> </w:t>
      </w:r>
      <w:r w:rsidR="001A59D4">
        <w:rPr>
          <w:sz w:val="24"/>
          <w:szCs w:val="24"/>
          <w:lang w:val="en-GB"/>
        </w:rPr>
        <w:t>the increase of this ratio</w:t>
      </w:r>
      <w:r>
        <w:rPr>
          <w:sz w:val="24"/>
          <w:szCs w:val="24"/>
          <w:lang w:val="en-GB"/>
        </w:rPr>
        <w:t xml:space="preserve"> is associated to a change in the economic process from a wage based society </w:t>
      </w:r>
      <w:r w:rsidR="001A59D4">
        <w:rPr>
          <w:sz w:val="24"/>
          <w:szCs w:val="24"/>
          <w:lang w:val="en-GB"/>
        </w:rPr>
        <w:t xml:space="preserve">(wage being for a majority of the population the main source of income) </w:t>
      </w:r>
      <w:r>
        <w:rPr>
          <w:sz w:val="24"/>
          <w:szCs w:val="24"/>
          <w:lang w:val="en-GB"/>
        </w:rPr>
        <w:t xml:space="preserve">to a capital-based society where merit based on work tends to decline </w:t>
      </w:r>
      <w:r w:rsidR="002F2AC0" w:rsidRPr="001632D6">
        <w:rPr>
          <w:sz w:val="24"/>
          <w:lang w:val="en-US"/>
        </w:rPr>
        <w:t>(Piketty, 2014)</w:t>
      </w:r>
      <w:r w:rsidR="00DE7A21">
        <w:rPr>
          <w:sz w:val="24"/>
          <w:szCs w:val="24"/>
          <w:lang w:val="en-GB"/>
        </w:rPr>
        <w:t>, in particular if wealth is inherited</w:t>
      </w:r>
      <w:r w:rsidR="00E313DF">
        <w:rPr>
          <w:sz w:val="24"/>
          <w:szCs w:val="24"/>
          <w:lang w:val="en-GB"/>
        </w:rPr>
        <w:t xml:space="preserve"> </w:t>
      </w:r>
      <w:r w:rsidR="00170A14" w:rsidRPr="00243A0B">
        <w:rPr>
          <w:sz w:val="24"/>
          <w:lang w:val="en-US"/>
        </w:rPr>
        <w:t>(Killewald, Pfeffer, &amp; Schachner, 2017; Ponomarenko, 2017)</w:t>
      </w:r>
      <w:r>
        <w:rPr>
          <w:sz w:val="24"/>
          <w:szCs w:val="24"/>
          <w:lang w:val="en-GB"/>
        </w:rPr>
        <w:t>. The second one is empirical</w:t>
      </w:r>
      <w:r w:rsidR="001A59D4">
        <w:rPr>
          <w:sz w:val="24"/>
          <w:szCs w:val="24"/>
          <w:lang w:val="en-GB"/>
        </w:rPr>
        <w:t xml:space="preserve"> at the </w:t>
      </w:r>
      <w:r w:rsidR="001A59D4">
        <w:rPr>
          <w:sz w:val="24"/>
          <w:szCs w:val="24"/>
          <w:lang w:val="en-GB"/>
        </w:rPr>
        <w:lastRenderedPageBreak/>
        <w:t>mesohistorical level</w:t>
      </w:r>
      <w:r>
        <w:rPr>
          <w:sz w:val="24"/>
          <w:szCs w:val="24"/>
          <w:lang w:val="en-GB"/>
        </w:rPr>
        <w:t xml:space="preserve">: we know that in many countries this ratio doubled over the last 30 years </w:t>
      </w:r>
      <w:r w:rsidR="002F2AC0" w:rsidRPr="001632D6">
        <w:rPr>
          <w:sz w:val="24"/>
          <w:lang w:val="en-US"/>
        </w:rPr>
        <w:t>(Piketty, 2014)</w:t>
      </w:r>
      <w:r>
        <w:rPr>
          <w:sz w:val="24"/>
          <w:szCs w:val="24"/>
          <w:lang w:val="en-GB"/>
        </w:rPr>
        <w:t>. The third reason is that, due to the structure of inequality specific to wealth</w:t>
      </w:r>
      <w:r w:rsidR="001A59D4">
        <w:rPr>
          <w:sz w:val="24"/>
          <w:szCs w:val="24"/>
          <w:lang w:val="en-GB"/>
        </w:rPr>
        <w:t xml:space="preserve"> compared to income</w:t>
      </w:r>
      <w:r>
        <w:rPr>
          <w:sz w:val="24"/>
          <w:szCs w:val="24"/>
          <w:lang w:val="en-GB"/>
        </w:rPr>
        <w:t>, a wealth based society is massively more unequal than an income based society</w:t>
      </w:r>
      <w:r w:rsidR="001632D6">
        <w:rPr>
          <w:sz w:val="24"/>
          <w:szCs w:val="24"/>
          <w:lang w:val="en-GB"/>
        </w:rPr>
        <w:t xml:space="preserve"> </w:t>
      </w:r>
      <w:r w:rsidR="002808F6" w:rsidRPr="001632D6">
        <w:rPr>
          <w:sz w:val="24"/>
          <w:lang w:val="en-US"/>
        </w:rPr>
        <w:t>(Chauvel &amp; Hartung, 2016)</w:t>
      </w:r>
      <w:r w:rsidR="001A59D4">
        <w:rPr>
          <w:sz w:val="24"/>
          <w:szCs w:val="24"/>
          <w:lang w:val="en-GB"/>
        </w:rPr>
        <w:t>, since the leptokurticity of wealth is considerably stronger</w:t>
      </w:r>
      <w:r w:rsidR="002F2AC0">
        <w:rPr>
          <w:sz w:val="24"/>
          <w:szCs w:val="24"/>
          <w:lang w:val="en-GB"/>
        </w:rPr>
        <w:t xml:space="preserve"> </w:t>
      </w:r>
      <w:r w:rsidR="002F2AC0" w:rsidRPr="001632D6">
        <w:rPr>
          <w:sz w:val="24"/>
          <w:lang w:val="en-US"/>
        </w:rPr>
        <w:t>(Solomon &amp; Richmond, 2001)</w:t>
      </w:r>
      <w:r>
        <w:rPr>
          <w:sz w:val="24"/>
          <w:szCs w:val="24"/>
          <w:lang w:val="en-GB"/>
        </w:rPr>
        <w:t xml:space="preserve">. </w:t>
      </w:r>
      <w:r w:rsidR="001A59D4">
        <w:rPr>
          <w:sz w:val="24"/>
          <w:szCs w:val="24"/>
          <w:lang w:val="en-GB"/>
        </w:rPr>
        <w:t>In density plots, we</w:t>
      </w:r>
      <w:r w:rsidR="002808F6">
        <w:rPr>
          <w:sz w:val="24"/>
          <w:szCs w:val="24"/>
          <w:lang w:val="en-GB"/>
        </w:rPr>
        <w:t xml:space="preserve"> can</w:t>
      </w:r>
      <w:r w:rsidR="001A59D4">
        <w:rPr>
          <w:sz w:val="24"/>
          <w:szCs w:val="24"/>
          <w:lang w:val="en-GB"/>
        </w:rPr>
        <w:t xml:space="preserve"> detect a middle class in income but </w:t>
      </w:r>
      <w:r w:rsidR="00530E04">
        <w:rPr>
          <w:sz w:val="24"/>
          <w:szCs w:val="24"/>
          <w:lang w:val="en-GB"/>
        </w:rPr>
        <w:t>not in</w:t>
      </w:r>
      <w:r w:rsidR="001A59D4">
        <w:rPr>
          <w:sz w:val="24"/>
          <w:szCs w:val="24"/>
          <w:lang w:val="en-GB"/>
        </w:rPr>
        <w:t xml:space="preserve"> wealth</w:t>
      </w:r>
      <w:r w:rsidR="00530E04">
        <w:rPr>
          <w:sz w:val="24"/>
          <w:szCs w:val="24"/>
          <w:lang w:val="en-GB"/>
        </w:rPr>
        <w:t xml:space="preserve"> as the density of wealth increases only towards the upper part of the distribution</w:t>
      </w:r>
      <w:r w:rsidR="001A59D4">
        <w:rPr>
          <w:sz w:val="24"/>
          <w:szCs w:val="24"/>
          <w:lang w:val="en-GB"/>
        </w:rPr>
        <w:t xml:space="preserve">. </w:t>
      </w:r>
      <w:r>
        <w:rPr>
          <w:sz w:val="24"/>
          <w:szCs w:val="24"/>
          <w:lang w:val="en-GB"/>
        </w:rPr>
        <w:t xml:space="preserve"> </w:t>
      </w:r>
    </w:p>
    <w:p w14:paraId="5E13E9E0" w14:textId="1A56A1B7" w:rsidR="00C05061" w:rsidRDefault="0088543B" w:rsidP="001505F1">
      <w:pPr>
        <w:spacing w:after="120" w:line="480" w:lineRule="auto"/>
        <w:jc w:val="both"/>
        <w:rPr>
          <w:sz w:val="24"/>
          <w:szCs w:val="24"/>
          <w:lang w:val="en-GB"/>
        </w:rPr>
      </w:pPr>
      <w:r>
        <w:rPr>
          <w:sz w:val="24"/>
          <w:szCs w:val="24"/>
          <w:lang w:val="en-GB"/>
        </w:rPr>
        <w:t xml:space="preserve">Next, we calculate </w:t>
      </w:r>
      <w:r w:rsidRPr="00C76B5C">
        <w:rPr>
          <w:sz w:val="24"/>
          <w:szCs w:val="24"/>
          <w:lang w:val="en-GB"/>
        </w:rPr>
        <w:t>W/I ratio</w:t>
      </w:r>
      <w:r>
        <w:rPr>
          <w:sz w:val="24"/>
          <w:szCs w:val="24"/>
          <w:lang w:val="en-GB"/>
        </w:rPr>
        <w:t>.</w:t>
      </w:r>
      <w:r w:rsidRPr="00C76B5C">
        <w:rPr>
          <w:sz w:val="24"/>
          <w:szCs w:val="24"/>
          <w:lang w:val="en-GB"/>
        </w:rPr>
        <w:t xml:space="preserve"> </w:t>
      </w:r>
      <w:r w:rsidR="000166DC" w:rsidRPr="0088543B">
        <w:rPr>
          <w:sz w:val="24"/>
          <w:szCs w:val="24"/>
          <w:lang w:val="en-GB"/>
        </w:rPr>
        <w:t>On the complete joint income and wealth distribution, this task is complicated since we have a two dimensional distribution where W/I ratio culminates for higher accumulations and lower incomes, th</w:t>
      </w:r>
      <w:r w:rsidR="00A934F5" w:rsidRPr="0088543B">
        <w:rPr>
          <w:sz w:val="24"/>
          <w:szCs w:val="24"/>
          <w:lang w:val="en-GB"/>
        </w:rPr>
        <w:t>r</w:t>
      </w:r>
      <w:r w:rsidR="000166DC" w:rsidRPr="0088543B">
        <w:rPr>
          <w:sz w:val="24"/>
          <w:szCs w:val="24"/>
          <w:lang w:val="en-GB"/>
        </w:rPr>
        <w:t xml:space="preserve">ough the adjacent diagonal of the </w:t>
      </w:r>
      <w:r w:rsidR="00A934F5" w:rsidRPr="0088543B">
        <w:rPr>
          <w:sz w:val="24"/>
          <w:szCs w:val="24"/>
          <w:lang w:val="en-GB"/>
        </w:rPr>
        <w:t>income/wealth tables underlying the heat maps of Figure 3 and 4</w:t>
      </w:r>
      <w:r w:rsidR="000166DC" w:rsidRPr="0088543B">
        <w:rPr>
          <w:sz w:val="24"/>
          <w:szCs w:val="24"/>
          <w:lang w:val="en-GB"/>
        </w:rPr>
        <w:t xml:space="preserve">. </w:t>
      </w:r>
      <w:r w:rsidR="00E17890" w:rsidRPr="0088543B">
        <w:rPr>
          <w:sz w:val="24"/>
          <w:szCs w:val="24"/>
          <w:lang w:val="en-GB"/>
        </w:rPr>
        <w:t>The solution</w:t>
      </w:r>
      <w:r w:rsidR="000166DC" w:rsidRPr="0088543B">
        <w:rPr>
          <w:sz w:val="24"/>
          <w:szCs w:val="24"/>
          <w:lang w:val="en-GB"/>
        </w:rPr>
        <w:t xml:space="preserve"> to this potential problem is</w:t>
      </w:r>
      <w:r w:rsidR="002808F6" w:rsidRPr="0088543B">
        <w:rPr>
          <w:sz w:val="24"/>
          <w:szCs w:val="24"/>
          <w:lang w:val="en-GB"/>
        </w:rPr>
        <w:t xml:space="preserve"> </w:t>
      </w:r>
      <w:r w:rsidR="000166DC" w:rsidRPr="0088543B">
        <w:rPr>
          <w:sz w:val="24"/>
          <w:szCs w:val="24"/>
          <w:lang w:val="en-GB"/>
        </w:rPr>
        <w:t>to measure this ratio along the diagonal of the logitrank-income and logitrank-wealth table.</w:t>
      </w:r>
      <w:r w:rsidR="000166DC">
        <w:rPr>
          <w:sz w:val="24"/>
          <w:szCs w:val="24"/>
          <w:lang w:val="en-GB"/>
        </w:rPr>
        <w:t xml:space="preserve"> </w:t>
      </w:r>
      <w:r w:rsidRPr="00B44E11">
        <w:rPr>
          <w:sz w:val="24"/>
          <w:szCs w:val="24"/>
          <w:lang w:val="en-GB"/>
        </w:rPr>
        <w:t>We</w:t>
      </w:r>
      <w:r>
        <w:rPr>
          <w:sz w:val="24"/>
          <w:szCs w:val="24"/>
          <w:lang w:val="en-GB"/>
        </w:rPr>
        <w:t xml:space="preserve"> therefore</w:t>
      </w:r>
      <w:r w:rsidRPr="00B44E11">
        <w:rPr>
          <w:sz w:val="24"/>
          <w:szCs w:val="24"/>
          <w:lang w:val="en-GB"/>
        </w:rPr>
        <w:t xml:space="preserve"> measure transformations of the W/I ratio only for individuals who have a consistent position on income and on wealth rankings.</w:t>
      </w:r>
      <w:r>
        <w:rPr>
          <w:sz w:val="24"/>
          <w:szCs w:val="24"/>
          <w:lang w:val="en-GB"/>
        </w:rPr>
        <w:t xml:space="preserve"> </w:t>
      </w:r>
      <w:r w:rsidR="00A52A0B">
        <w:rPr>
          <w:sz w:val="24"/>
          <w:szCs w:val="24"/>
          <w:lang w:val="en-GB"/>
        </w:rPr>
        <w:t>In other words, we consider the diagonal “tiles” of the logitrank-income and logitrank-wealth table underlying the plot of Figure 4, and compute the average logarithm of the W/I ratio</w:t>
      </w:r>
      <w:r w:rsidR="00A52A0B" w:rsidDel="00A52A0B">
        <w:rPr>
          <w:sz w:val="24"/>
          <w:szCs w:val="24"/>
          <w:lang w:val="en-GB"/>
        </w:rPr>
        <w:t xml:space="preserve"> </w:t>
      </w:r>
      <w:r w:rsidR="00A52A0B">
        <w:rPr>
          <w:sz w:val="24"/>
          <w:szCs w:val="24"/>
          <w:lang w:val="en-GB"/>
        </w:rPr>
        <w:t>along these tiles</w:t>
      </w:r>
      <w:r w:rsidR="007D7FB2">
        <w:rPr>
          <w:sz w:val="24"/>
          <w:szCs w:val="24"/>
          <w:lang w:val="en-GB"/>
        </w:rPr>
        <w:t>, which is shown for 1995 and 2013 in Figure 6.</w:t>
      </w:r>
      <w:r w:rsidR="00A52A0B">
        <w:rPr>
          <w:sz w:val="24"/>
          <w:szCs w:val="24"/>
          <w:lang w:val="en-GB"/>
        </w:rPr>
        <w:t xml:space="preserve"> </w:t>
      </w:r>
      <w:r>
        <w:rPr>
          <w:sz w:val="24"/>
          <w:szCs w:val="24"/>
          <w:lang w:val="en-GB"/>
        </w:rPr>
        <w:t xml:space="preserve">Note that this cannot be interpreted as a measure of to what degree households need more or less income than before to achieve a certain level of wealth but rather how much income households at a particular point in the income distribution need for achieving the </w:t>
      </w:r>
      <w:r w:rsidRPr="001505F1">
        <w:rPr>
          <w:i/>
          <w:sz w:val="24"/>
          <w:szCs w:val="24"/>
          <w:lang w:val="en-GB"/>
        </w:rPr>
        <w:t>same</w:t>
      </w:r>
      <w:r>
        <w:rPr>
          <w:sz w:val="24"/>
          <w:szCs w:val="24"/>
          <w:lang w:val="en-GB"/>
        </w:rPr>
        <w:t xml:space="preserve"> ranking in wealth – compared over the years. </w:t>
      </w:r>
    </w:p>
    <w:p w14:paraId="359FB2F9" w14:textId="34ADA6FA" w:rsidR="00D07203" w:rsidRDefault="00D07203" w:rsidP="001505F1">
      <w:pPr>
        <w:spacing w:after="120" w:line="480" w:lineRule="auto"/>
        <w:jc w:val="both"/>
        <w:rPr>
          <w:i/>
          <w:sz w:val="24"/>
          <w:lang w:val="en-GB"/>
        </w:rPr>
      </w:pPr>
      <w:r>
        <w:rPr>
          <w:sz w:val="24"/>
          <w:szCs w:val="24"/>
          <w:lang w:val="en-GB"/>
        </w:rPr>
        <w:t xml:space="preserve">This increase across the income and wealth diagonal of the wealth to income ratio means a “sling effect” (Chauvel, 2016: 56) where inequality of resources increase </w:t>
      </w:r>
      <w:r w:rsidR="00DD3F21">
        <w:rPr>
          <w:sz w:val="24"/>
          <w:szCs w:val="24"/>
          <w:lang w:val="en-GB"/>
        </w:rPr>
        <w:t xml:space="preserve">more than proportionally with the distance to the median. </w:t>
      </w:r>
    </w:p>
    <w:p w14:paraId="4107D492" w14:textId="77777777" w:rsidR="00927E4C" w:rsidRDefault="00927E4C">
      <w:pPr>
        <w:rPr>
          <w:i/>
          <w:sz w:val="24"/>
          <w:lang w:val="en-GB"/>
        </w:rPr>
      </w:pPr>
      <w:r>
        <w:rPr>
          <w:i/>
          <w:sz w:val="24"/>
          <w:lang w:val="en-GB"/>
        </w:rPr>
        <w:br w:type="page"/>
      </w:r>
    </w:p>
    <w:p w14:paraId="662D69F5" w14:textId="30118E5C" w:rsidR="0012192D" w:rsidRDefault="0012192D" w:rsidP="00AC56B9">
      <w:pPr>
        <w:rPr>
          <w:i/>
          <w:sz w:val="24"/>
          <w:lang w:val="en-GB"/>
        </w:rPr>
      </w:pPr>
      <w:r w:rsidRPr="00AC56B9">
        <w:rPr>
          <w:i/>
          <w:sz w:val="24"/>
          <w:lang w:val="en-GB"/>
        </w:rPr>
        <w:lastRenderedPageBreak/>
        <w:t xml:space="preserve">Figure </w:t>
      </w:r>
      <w:r w:rsidR="00FA20D2">
        <w:rPr>
          <w:i/>
          <w:sz w:val="24"/>
          <w:lang w:val="en-GB"/>
        </w:rPr>
        <w:t>6</w:t>
      </w:r>
      <w:r w:rsidRPr="00AC56B9">
        <w:rPr>
          <w:i/>
          <w:sz w:val="24"/>
          <w:lang w:val="en-GB"/>
        </w:rPr>
        <w:t xml:space="preserve">: </w:t>
      </w:r>
      <w:r w:rsidR="004D33F9" w:rsidRPr="00AC56B9">
        <w:rPr>
          <w:i/>
          <w:sz w:val="24"/>
          <w:lang w:val="en-GB"/>
        </w:rPr>
        <w:t>Wealth</w:t>
      </w:r>
      <w:r w:rsidR="00A934F5">
        <w:rPr>
          <w:i/>
          <w:sz w:val="24"/>
          <w:lang w:val="en-GB"/>
        </w:rPr>
        <w:t>-</w:t>
      </w:r>
      <w:r w:rsidRPr="00AC56B9">
        <w:rPr>
          <w:i/>
          <w:sz w:val="24"/>
          <w:lang w:val="en-GB"/>
        </w:rPr>
        <w:t>to</w:t>
      </w:r>
      <w:r w:rsidR="00A934F5">
        <w:rPr>
          <w:i/>
          <w:sz w:val="24"/>
          <w:lang w:val="en-GB"/>
        </w:rPr>
        <w:t>-</w:t>
      </w:r>
      <w:r w:rsidR="004D33F9" w:rsidRPr="00AC56B9">
        <w:rPr>
          <w:i/>
          <w:sz w:val="24"/>
          <w:lang w:val="en-GB"/>
        </w:rPr>
        <w:t xml:space="preserve">Income </w:t>
      </w:r>
      <w:r w:rsidRPr="00AC56B9">
        <w:rPr>
          <w:i/>
          <w:sz w:val="24"/>
          <w:lang w:val="en-GB"/>
        </w:rPr>
        <w:t xml:space="preserve">ratio </w:t>
      </w:r>
      <w:r w:rsidR="00A934F5">
        <w:rPr>
          <w:i/>
          <w:sz w:val="24"/>
          <w:lang w:val="en-GB"/>
        </w:rPr>
        <w:t>along the income distribution (l</w:t>
      </w:r>
      <w:r w:rsidR="00A934F5" w:rsidRPr="00AC56B9">
        <w:rPr>
          <w:i/>
          <w:sz w:val="24"/>
          <w:lang w:val="en-GB"/>
        </w:rPr>
        <w:t>ogitrank</w:t>
      </w:r>
      <w:r w:rsidR="00A934F5">
        <w:rPr>
          <w:i/>
          <w:sz w:val="24"/>
          <w:lang w:val="en-GB"/>
        </w:rPr>
        <w:t>),</w:t>
      </w:r>
      <w:r w:rsidR="00A934F5" w:rsidRPr="00AC56B9">
        <w:rPr>
          <w:i/>
          <w:sz w:val="24"/>
          <w:lang w:val="en-GB"/>
        </w:rPr>
        <w:t xml:space="preserve"> </w:t>
      </w:r>
      <w:r w:rsidR="00166175" w:rsidRPr="00AC56B9">
        <w:rPr>
          <w:i/>
          <w:sz w:val="24"/>
          <w:lang w:val="en-GB"/>
        </w:rPr>
        <w:t>1995</w:t>
      </w:r>
      <w:r w:rsidRPr="00AC56B9">
        <w:rPr>
          <w:i/>
          <w:sz w:val="24"/>
          <w:lang w:val="en-GB"/>
        </w:rPr>
        <w:t xml:space="preserve"> and 2013 </w:t>
      </w:r>
    </w:p>
    <w:p w14:paraId="591F7FC3" w14:textId="233204D4" w:rsidR="008A7A77" w:rsidRDefault="008A7A77" w:rsidP="001505F1">
      <w:pPr>
        <w:jc w:val="center"/>
        <w:rPr>
          <w:i/>
          <w:sz w:val="24"/>
          <w:lang w:val="en-GB"/>
        </w:rPr>
      </w:pPr>
    </w:p>
    <w:p w14:paraId="0123620C" w14:textId="77777777" w:rsidR="00923FBB" w:rsidRDefault="00AD5B8A" w:rsidP="001505F1">
      <w:pPr>
        <w:jc w:val="center"/>
        <w:rPr>
          <w:i/>
          <w:sz w:val="24"/>
          <w:szCs w:val="24"/>
          <w:lang w:val="en-GB"/>
        </w:rPr>
      </w:pPr>
      <w:r w:rsidRPr="00AD5B8A">
        <w:rPr>
          <w:i/>
          <w:noProof/>
          <w:sz w:val="24"/>
          <w:szCs w:val="24"/>
          <w:lang w:val="en-US" w:eastAsia="en-US"/>
        </w:rPr>
        <w:drawing>
          <wp:inline distT="0" distB="0" distL="0" distR="0" wp14:anchorId="503D3C85" wp14:editId="6D4768DA">
            <wp:extent cx="4025911" cy="29294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033595" cy="2935058"/>
                    </a:xfrm>
                    <a:prstGeom prst="rect">
                      <a:avLst/>
                    </a:prstGeom>
                  </pic:spPr>
                </pic:pic>
              </a:graphicData>
            </a:graphic>
          </wp:inline>
        </w:drawing>
      </w:r>
    </w:p>
    <w:p w14:paraId="58191D37" w14:textId="2C8F2B2D" w:rsidR="00D9331D" w:rsidRPr="00DD0D8A" w:rsidRDefault="00D9331D" w:rsidP="001505F1">
      <w:pPr>
        <w:jc w:val="center"/>
        <w:rPr>
          <w:i/>
          <w:sz w:val="24"/>
          <w:szCs w:val="24"/>
          <w:lang w:val="en-GB"/>
        </w:rPr>
      </w:pPr>
    </w:p>
    <w:p w14:paraId="7DC901FA" w14:textId="2FAAE039" w:rsidR="00552FEF" w:rsidRPr="0013301D" w:rsidRDefault="000E4C13">
      <w:pPr>
        <w:spacing w:after="120"/>
        <w:jc w:val="both"/>
        <w:rPr>
          <w:szCs w:val="24"/>
          <w:lang w:val="en-GB"/>
        </w:rPr>
      </w:pPr>
      <w:r w:rsidRPr="00AC56B9">
        <w:rPr>
          <w:szCs w:val="24"/>
          <w:lang w:val="en-GB"/>
        </w:rPr>
        <w:t xml:space="preserve"> </w:t>
      </w:r>
      <w:r w:rsidR="00FA20D2" w:rsidRPr="00AC56B9">
        <w:rPr>
          <w:szCs w:val="24"/>
          <w:lang w:val="en-GB"/>
        </w:rPr>
        <w:t>Note: The X-axis represent</w:t>
      </w:r>
      <w:r w:rsidR="00FA20D2">
        <w:rPr>
          <w:szCs w:val="24"/>
          <w:lang w:val="en-GB"/>
        </w:rPr>
        <w:t>s</w:t>
      </w:r>
      <w:r w:rsidR="00FA20D2" w:rsidRPr="00AC56B9">
        <w:rPr>
          <w:szCs w:val="24"/>
          <w:lang w:val="en-GB"/>
        </w:rPr>
        <w:t xml:space="preserve"> the logitranks of income. The Y-axis is the natural log of the W/I ratio.</w:t>
      </w:r>
      <w:r w:rsidR="00C05061">
        <w:rPr>
          <w:szCs w:val="24"/>
          <w:lang w:val="en-GB"/>
        </w:rPr>
        <w:t xml:space="preserve"> </w:t>
      </w:r>
      <w:r w:rsidR="00D80CC9" w:rsidRPr="0013301D">
        <w:rPr>
          <w:szCs w:val="24"/>
          <w:lang w:val="en-GB"/>
        </w:rPr>
        <w:t xml:space="preserve"> </w:t>
      </w:r>
      <w:r w:rsidR="0049049A">
        <w:rPr>
          <w:szCs w:val="24"/>
          <w:lang w:val="en-GB"/>
        </w:rPr>
        <w:t>Source: LWS (US-SCF).</w:t>
      </w:r>
    </w:p>
    <w:p w14:paraId="646E5DE2" w14:textId="2213ECA5" w:rsidR="00AF7411" w:rsidRDefault="00AF7411" w:rsidP="00AF0CE3">
      <w:pPr>
        <w:spacing w:after="120" w:line="480" w:lineRule="auto"/>
        <w:jc w:val="both"/>
        <w:rPr>
          <w:sz w:val="24"/>
          <w:szCs w:val="24"/>
          <w:lang w:val="en-GB"/>
        </w:rPr>
      </w:pPr>
    </w:p>
    <w:p w14:paraId="0B09C6B2" w14:textId="2DE88C5B" w:rsidR="000F45F5" w:rsidRPr="003109B9" w:rsidRDefault="00C05061" w:rsidP="00AF0CE3">
      <w:pPr>
        <w:spacing w:after="120" w:line="480" w:lineRule="auto"/>
        <w:jc w:val="both"/>
        <w:rPr>
          <w:sz w:val="24"/>
          <w:szCs w:val="24"/>
          <w:lang w:val="en-US"/>
        </w:rPr>
      </w:pPr>
      <w:r>
        <w:rPr>
          <w:sz w:val="24"/>
          <w:szCs w:val="24"/>
          <w:lang w:val="en-GB"/>
        </w:rPr>
        <w:t>Figure 6</w:t>
      </w:r>
      <w:r w:rsidR="00C62F0E">
        <w:rPr>
          <w:sz w:val="24"/>
          <w:szCs w:val="24"/>
          <w:lang w:val="en-GB"/>
        </w:rPr>
        <w:t xml:space="preserve"> shows that </w:t>
      </w:r>
      <w:r w:rsidR="00522ECB">
        <w:rPr>
          <w:sz w:val="24"/>
          <w:szCs w:val="24"/>
          <w:lang w:val="en-GB"/>
        </w:rPr>
        <w:t>for households just</w:t>
      </w:r>
      <w:r w:rsidR="00C62F0E">
        <w:rPr>
          <w:sz w:val="24"/>
          <w:szCs w:val="24"/>
          <w:lang w:val="en-GB"/>
        </w:rPr>
        <w:t xml:space="preserve"> above</w:t>
      </w:r>
      <w:r>
        <w:rPr>
          <w:sz w:val="24"/>
          <w:szCs w:val="24"/>
          <w:lang w:val="en-GB"/>
        </w:rPr>
        <w:t xml:space="preserve"> the median </w:t>
      </w:r>
      <w:r w:rsidR="00522ECB">
        <w:rPr>
          <w:sz w:val="24"/>
          <w:szCs w:val="24"/>
          <w:lang w:val="en-GB"/>
        </w:rPr>
        <w:t xml:space="preserve">until approximately the </w:t>
      </w:r>
      <w:r w:rsidR="00354825">
        <w:rPr>
          <w:sz w:val="24"/>
          <w:szCs w:val="24"/>
          <w:lang w:val="en-GB"/>
        </w:rPr>
        <w:t>circa 60</w:t>
      </w:r>
      <w:r w:rsidR="00354825" w:rsidRPr="003109B9">
        <w:rPr>
          <w:sz w:val="24"/>
          <w:szCs w:val="24"/>
          <w:vertAlign w:val="superscript"/>
          <w:lang w:val="en-GB"/>
        </w:rPr>
        <w:t>th</w:t>
      </w:r>
      <w:r w:rsidR="00354825">
        <w:rPr>
          <w:sz w:val="24"/>
          <w:szCs w:val="24"/>
          <w:lang w:val="en-GB"/>
        </w:rPr>
        <w:t xml:space="preserve"> </w:t>
      </w:r>
      <w:r w:rsidR="00522ECB">
        <w:rPr>
          <w:sz w:val="24"/>
          <w:szCs w:val="24"/>
          <w:lang w:val="en-GB"/>
        </w:rPr>
        <w:t>percentile</w:t>
      </w:r>
      <w:r w:rsidR="00522ECB" w:rsidDel="00C62F0E">
        <w:rPr>
          <w:sz w:val="24"/>
          <w:szCs w:val="24"/>
          <w:lang w:val="en-GB"/>
        </w:rPr>
        <w:t xml:space="preserve"> </w:t>
      </w:r>
      <w:r w:rsidR="00C62F0E">
        <w:rPr>
          <w:sz w:val="24"/>
          <w:szCs w:val="24"/>
          <w:lang w:val="en-GB"/>
        </w:rPr>
        <w:t>(</w:t>
      </w:r>
      <w:r w:rsidR="00522ECB">
        <w:rPr>
          <w:sz w:val="24"/>
          <w:szCs w:val="24"/>
          <w:lang w:val="en-GB"/>
        </w:rPr>
        <w:t>0&lt;x&lt;.5</w:t>
      </w:r>
      <w:r w:rsidR="00226E94">
        <w:rPr>
          <w:sz w:val="24"/>
          <w:szCs w:val="24"/>
          <w:lang w:val="en-GB"/>
        </w:rPr>
        <w:t>)</w:t>
      </w:r>
      <w:r>
        <w:rPr>
          <w:sz w:val="24"/>
          <w:szCs w:val="24"/>
          <w:lang w:val="en-GB"/>
        </w:rPr>
        <w:t xml:space="preserve">, </w:t>
      </w:r>
      <w:r w:rsidR="00C62F0E" w:rsidRPr="00B44E11">
        <w:rPr>
          <w:sz w:val="24"/>
          <w:szCs w:val="24"/>
          <w:lang w:val="en-GB"/>
        </w:rPr>
        <w:t xml:space="preserve">the W/I ratio </w:t>
      </w:r>
      <w:r w:rsidR="00927E4C">
        <w:rPr>
          <w:sz w:val="24"/>
          <w:szCs w:val="24"/>
          <w:lang w:val="en-GB"/>
        </w:rPr>
        <w:t>decreased</w:t>
      </w:r>
      <w:r w:rsidR="00522ECB">
        <w:rPr>
          <w:sz w:val="24"/>
          <w:szCs w:val="24"/>
          <w:lang w:val="en-GB"/>
        </w:rPr>
        <w:t>. The largest decrease, f</w:t>
      </w:r>
      <w:r w:rsidR="00927E4C">
        <w:rPr>
          <w:sz w:val="24"/>
          <w:szCs w:val="24"/>
          <w:lang w:val="en-GB"/>
        </w:rPr>
        <w:t>rom</w:t>
      </w:r>
      <w:r w:rsidR="00522ECB">
        <w:rPr>
          <w:sz w:val="24"/>
          <w:szCs w:val="24"/>
          <w:lang w:val="en-GB"/>
        </w:rPr>
        <w:t xml:space="preserve"> .4 in 1995 to -.1 in 2013, can be located just above the median</w:t>
      </w:r>
      <w:r w:rsidR="00C62F0E">
        <w:rPr>
          <w:sz w:val="24"/>
          <w:szCs w:val="24"/>
          <w:lang w:val="en-GB"/>
        </w:rPr>
        <w:t xml:space="preserve">, </w:t>
      </w:r>
      <w:r w:rsidR="000F45F5">
        <w:rPr>
          <w:sz w:val="24"/>
          <w:szCs w:val="24"/>
          <w:lang w:val="en-GB"/>
        </w:rPr>
        <w:t>where</w:t>
      </w:r>
      <w:r w:rsidR="00522ECB">
        <w:rPr>
          <w:sz w:val="24"/>
          <w:szCs w:val="24"/>
          <w:lang w:val="en-GB"/>
        </w:rPr>
        <w:t xml:space="preserve"> </w:t>
      </w:r>
      <w:r w:rsidR="00C62F0E">
        <w:rPr>
          <w:sz w:val="24"/>
          <w:szCs w:val="24"/>
          <w:lang w:val="en-GB"/>
        </w:rPr>
        <w:t>households</w:t>
      </w:r>
      <w:r w:rsidR="00DA5160">
        <w:rPr>
          <w:sz w:val="24"/>
          <w:szCs w:val="24"/>
          <w:lang w:val="en-GB"/>
        </w:rPr>
        <w:t xml:space="preserve">’ </w:t>
      </w:r>
      <w:r w:rsidR="00D67951">
        <w:rPr>
          <w:sz w:val="24"/>
          <w:szCs w:val="24"/>
          <w:lang w:val="en-GB"/>
        </w:rPr>
        <w:t xml:space="preserve">wealth </w:t>
      </w:r>
      <w:r w:rsidR="000F45F5">
        <w:rPr>
          <w:sz w:val="24"/>
          <w:szCs w:val="24"/>
          <w:lang w:val="en-GB"/>
        </w:rPr>
        <w:t xml:space="preserve">relative to income </w:t>
      </w:r>
      <w:r w:rsidR="00DA5160">
        <w:rPr>
          <w:sz w:val="24"/>
          <w:szCs w:val="24"/>
          <w:lang w:val="en-GB"/>
        </w:rPr>
        <w:t>decreased from</w:t>
      </w:r>
      <w:r>
        <w:rPr>
          <w:sz w:val="24"/>
          <w:szCs w:val="24"/>
          <w:lang w:val="en-GB"/>
        </w:rPr>
        <w:t xml:space="preserve"> </w:t>
      </w:r>
      <w:r w:rsidR="00DA5160">
        <w:rPr>
          <w:sz w:val="24"/>
          <w:szCs w:val="24"/>
          <w:lang w:val="en-GB"/>
        </w:rPr>
        <w:t xml:space="preserve">1.5 to </w:t>
      </w:r>
      <w:r w:rsidR="00AC4158">
        <w:rPr>
          <w:sz w:val="24"/>
          <w:szCs w:val="24"/>
          <w:lang w:val="en-GB"/>
        </w:rPr>
        <w:t>.9</w:t>
      </w:r>
      <w:r w:rsidR="00DA5160">
        <w:rPr>
          <w:sz w:val="24"/>
          <w:szCs w:val="24"/>
          <w:lang w:val="en-GB"/>
        </w:rPr>
        <w:t xml:space="preserve"> </w:t>
      </w:r>
      <w:r>
        <w:rPr>
          <w:sz w:val="24"/>
          <w:szCs w:val="24"/>
          <w:lang w:val="en-GB"/>
        </w:rPr>
        <w:t>year</w:t>
      </w:r>
      <w:r w:rsidR="00AC4158">
        <w:rPr>
          <w:sz w:val="24"/>
          <w:szCs w:val="24"/>
          <w:lang w:val="en-GB"/>
        </w:rPr>
        <w:t>s</w:t>
      </w:r>
      <w:r w:rsidR="000F45F5">
        <w:rPr>
          <w:sz w:val="24"/>
          <w:szCs w:val="24"/>
          <w:lang w:val="en-GB"/>
        </w:rPr>
        <w:t xml:space="preserve"> of income</w:t>
      </w:r>
      <w:r>
        <w:rPr>
          <w:sz w:val="24"/>
          <w:szCs w:val="24"/>
          <w:lang w:val="en-GB"/>
        </w:rPr>
        <w:t xml:space="preserve"> </w:t>
      </w:r>
      <w:r w:rsidR="00D67951">
        <w:rPr>
          <w:sz w:val="24"/>
          <w:szCs w:val="24"/>
          <w:lang w:val="en-GB"/>
        </w:rPr>
        <w:t>in two decades</w:t>
      </w:r>
      <w:r w:rsidR="00AC4158">
        <w:rPr>
          <w:sz w:val="24"/>
          <w:szCs w:val="24"/>
          <w:lang w:val="en-GB"/>
        </w:rPr>
        <w:t xml:space="preserve"> (from </w:t>
      </w:r>
      <w:r w:rsidR="00354825">
        <w:rPr>
          <w:sz w:val="24"/>
          <w:szCs w:val="24"/>
          <w:lang w:val="en-GB"/>
        </w:rPr>
        <w:t xml:space="preserve">circa </w:t>
      </w:r>
      <w:r w:rsidR="00AC4158">
        <w:rPr>
          <w:sz w:val="24"/>
          <w:szCs w:val="24"/>
          <w:lang w:val="en-GB"/>
        </w:rPr>
        <w:t>.42 to -.11 on the logarithmic scale)</w:t>
      </w:r>
      <w:r w:rsidR="00C62F0E">
        <w:rPr>
          <w:sz w:val="24"/>
          <w:szCs w:val="24"/>
          <w:lang w:val="en-GB"/>
        </w:rPr>
        <w:t xml:space="preserve">. </w:t>
      </w:r>
      <w:r w:rsidR="000F45F5">
        <w:rPr>
          <w:sz w:val="24"/>
          <w:szCs w:val="24"/>
          <w:lang w:val="en-GB"/>
        </w:rPr>
        <w:t>This implies that their wealth expressed in terms of income decreased substantially, by 40%. While the W/I ratio depends on changes both in income and in wealth, it is more likely that it is affected by decreasing wealth among the middle class: Studies show that the median income has remained rather stable comparing these years</w:t>
      </w:r>
      <w:r w:rsidR="00C31A8E">
        <w:rPr>
          <w:sz w:val="24"/>
          <w:szCs w:val="24"/>
          <w:lang w:val="en-GB"/>
        </w:rPr>
        <w:t xml:space="preserve"> (</w:t>
      </w:r>
      <w:r w:rsidR="00C31A8E" w:rsidRPr="00C31A8E">
        <w:rPr>
          <w:sz w:val="24"/>
          <w:szCs w:val="24"/>
          <w:lang w:val="en-GB"/>
        </w:rPr>
        <w:t>U.S. Bureau of the Census</w:t>
      </w:r>
      <w:r w:rsidR="00705521">
        <w:rPr>
          <w:sz w:val="24"/>
          <w:szCs w:val="24"/>
          <w:lang w:val="en-GB"/>
        </w:rPr>
        <w:t>,</w:t>
      </w:r>
      <w:r w:rsidR="00C31A8E">
        <w:rPr>
          <w:sz w:val="24"/>
          <w:szCs w:val="24"/>
          <w:lang w:val="en-GB"/>
        </w:rPr>
        <w:t xml:space="preserve"> 201</w:t>
      </w:r>
      <w:r w:rsidR="00705521">
        <w:rPr>
          <w:sz w:val="24"/>
          <w:szCs w:val="24"/>
          <w:lang w:val="en-GB"/>
        </w:rPr>
        <w:t>8)</w:t>
      </w:r>
      <w:r w:rsidR="000F45F5">
        <w:rPr>
          <w:sz w:val="24"/>
          <w:szCs w:val="24"/>
          <w:lang w:val="en-GB"/>
        </w:rPr>
        <w:t>, while the economic crisis and the housing bubble has rendered many families without homes and thus less wealth (</w:t>
      </w:r>
      <w:r w:rsidR="007A110D">
        <w:rPr>
          <w:sz w:val="24"/>
          <w:szCs w:val="24"/>
          <w:lang w:val="en-GB"/>
        </w:rPr>
        <w:t>Fligstein and Rucks-Ahidiana, 2015</w:t>
      </w:r>
      <w:r w:rsidR="000F45F5">
        <w:rPr>
          <w:sz w:val="24"/>
          <w:szCs w:val="24"/>
          <w:lang w:val="en-GB"/>
        </w:rPr>
        <w:t xml:space="preserve">). Due to a diversification of assets and wealth, </w:t>
      </w:r>
      <w:r w:rsidR="000F45F5" w:rsidRPr="000F45F5">
        <w:rPr>
          <w:sz w:val="24"/>
          <w:szCs w:val="24"/>
          <w:lang w:val="en-GB"/>
        </w:rPr>
        <w:t>households in the top 10% of the wealth distribution soon recovered</w:t>
      </w:r>
      <w:r w:rsidR="000F45F5">
        <w:rPr>
          <w:sz w:val="24"/>
          <w:szCs w:val="24"/>
          <w:lang w:val="en-GB"/>
        </w:rPr>
        <w:t xml:space="preserve"> their losses of the economic crisis, contrary to t</w:t>
      </w:r>
      <w:r w:rsidR="000F45F5" w:rsidRPr="000F45F5">
        <w:rPr>
          <w:sz w:val="24"/>
          <w:szCs w:val="24"/>
          <w:lang w:val="en-GB"/>
        </w:rPr>
        <w:t xml:space="preserve">he bottom 80% of the wealth distribution </w:t>
      </w:r>
      <w:r w:rsidR="000F45F5">
        <w:rPr>
          <w:sz w:val="24"/>
          <w:szCs w:val="24"/>
          <w:lang w:val="en-GB"/>
        </w:rPr>
        <w:t>who lost greater parts of their wealth as tied to home ownership (</w:t>
      </w:r>
      <w:r w:rsidR="007A110D">
        <w:rPr>
          <w:sz w:val="24"/>
          <w:szCs w:val="24"/>
          <w:lang w:val="en-GB"/>
        </w:rPr>
        <w:t>ibidem</w:t>
      </w:r>
      <w:r w:rsidR="000F45F5">
        <w:rPr>
          <w:sz w:val="24"/>
          <w:szCs w:val="24"/>
          <w:lang w:val="en-GB"/>
        </w:rPr>
        <w:t>)</w:t>
      </w:r>
      <w:r w:rsidR="000F45F5" w:rsidRPr="000F45F5">
        <w:rPr>
          <w:sz w:val="24"/>
          <w:szCs w:val="24"/>
          <w:lang w:val="en-GB"/>
        </w:rPr>
        <w:t>.</w:t>
      </w:r>
    </w:p>
    <w:p w14:paraId="735E1BBA" w14:textId="6BD56C1A" w:rsidR="000E4C13" w:rsidRDefault="00D67951" w:rsidP="00AF0CE3">
      <w:pPr>
        <w:spacing w:after="120" w:line="480" w:lineRule="auto"/>
        <w:jc w:val="both"/>
        <w:rPr>
          <w:sz w:val="24"/>
          <w:szCs w:val="24"/>
          <w:lang w:val="en-GB"/>
        </w:rPr>
      </w:pPr>
      <w:r>
        <w:rPr>
          <w:sz w:val="24"/>
          <w:szCs w:val="24"/>
          <w:lang w:val="en-GB"/>
        </w:rPr>
        <w:lastRenderedPageBreak/>
        <w:t xml:space="preserve">Upper middle class households approximately between percentiles </w:t>
      </w:r>
      <w:r w:rsidR="00354825">
        <w:rPr>
          <w:sz w:val="24"/>
          <w:szCs w:val="24"/>
          <w:lang w:val="en-GB"/>
        </w:rPr>
        <w:t xml:space="preserve">circa </w:t>
      </w:r>
      <w:r>
        <w:rPr>
          <w:sz w:val="24"/>
          <w:szCs w:val="24"/>
          <w:lang w:val="en-GB"/>
        </w:rPr>
        <w:t>6</w:t>
      </w:r>
      <w:r w:rsidR="00354825">
        <w:rPr>
          <w:sz w:val="24"/>
          <w:szCs w:val="24"/>
          <w:lang w:val="en-GB"/>
        </w:rPr>
        <w:t>0</w:t>
      </w:r>
      <w:r w:rsidR="00354825" w:rsidRPr="003109B9">
        <w:rPr>
          <w:sz w:val="24"/>
          <w:szCs w:val="24"/>
          <w:vertAlign w:val="superscript"/>
          <w:lang w:val="en-GB"/>
        </w:rPr>
        <w:t>th</w:t>
      </w:r>
      <w:r>
        <w:rPr>
          <w:sz w:val="24"/>
          <w:szCs w:val="24"/>
          <w:lang w:val="en-GB"/>
        </w:rPr>
        <w:t xml:space="preserve"> and 95</w:t>
      </w:r>
      <w:r w:rsidRPr="001505F1">
        <w:rPr>
          <w:sz w:val="24"/>
          <w:szCs w:val="24"/>
          <w:vertAlign w:val="superscript"/>
          <w:lang w:val="en-GB"/>
        </w:rPr>
        <w:t>th</w:t>
      </w:r>
      <w:r>
        <w:rPr>
          <w:sz w:val="24"/>
          <w:szCs w:val="24"/>
          <w:lang w:val="en-GB"/>
        </w:rPr>
        <w:t xml:space="preserve"> percentile, however, could maintain their wealth levels of 1.5 to 6 years of income depending on the position in the distribution. In the top 5-2% of the population, on the contrary, households managed to accumulate increasing levels of wealth. </w:t>
      </w:r>
      <w:r w:rsidR="00691867" w:rsidRPr="001505F1">
        <w:rPr>
          <w:sz w:val="24"/>
          <w:szCs w:val="24"/>
          <w:lang w:val="en-GB"/>
        </w:rPr>
        <w:t xml:space="preserve">The strongest increase of the W/I ratio is located </w:t>
      </w:r>
      <w:r w:rsidR="00691867">
        <w:rPr>
          <w:sz w:val="24"/>
          <w:szCs w:val="24"/>
          <w:lang w:val="en-GB"/>
        </w:rPr>
        <w:t>near</w:t>
      </w:r>
      <w:r>
        <w:rPr>
          <w:sz w:val="24"/>
          <w:szCs w:val="24"/>
          <w:lang w:val="en-GB"/>
        </w:rPr>
        <w:t xml:space="preserve"> a logitrank of 4 or the top 2%,</w:t>
      </w:r>
      <w:r w:rsidR="00691867">
        <w:rPr>
          <w:sz w:val="24"/>
          <w:szCs w:val="24"/>
          <w:lang w:val="en-GB"/>
        </w:rPr>
        <w:t xml:space="preserve"> where</w:t>
      </w:r>
      <w:r>
        <w:rPr>
          <w:sz w:val="24"/>
          <w:szCs w:val="24"/>
          <w:lang w:val="en-GB"/>
        </w:rPr>
        <w:t xml:space="preserve"> households increased their wealth </w:t>
      </w:r>
      <w:r w:rsidR="00691867">
        <w:rPr>
          <w:sz w:val="24"/>
          <w:szCs w:val="24"/>
          <w:lang w:val="en-GB"/>
        </w:rPr>
        <w:t xml:space="preserve">by 44% </w:t>
      </w:r>
      <w:r>
        <w:rPr>
          <w:sz w:val="24"/>
          <w:szCs w:val="24"/>
          <w:lang w:val="en-GB"/>
        </w:rPr>
        <w:t xml:space="preserve">from </w:t>
      </w:r>
      <w:r w:rsidR="00691867">
        <w:rPr>
          <w:sz w:val="24"/>
          <w:szCs w:val="24"/>
          <w:lang w:val="en-GB"/>
        </w:rPr>
        <w:t>6.1 to 8.8 annual incomes</w:t>
      </w:r>
      <w:r w:rsidR="00AC4158">
        <w:rPr>
          <w:sz w:val="24"/>
          <w:szCs w:val="24"/>
          <w:lang w:val="en-GB"/>
        </w:rPr>
        <w:t xml:space="preserve"> (from 1.81 to 2.17 on the logarithmic scale)</w:t>
      </w:r>
      <w:r w:rsidR="00691867">
        <w:rPr>
          <w:sz w:val="24"/>
          <w:szCs w:val="24"/>
          <w:lang w:val="en-GB"/>
        </w:rPr>
        <w:t xml:space="preserve">. </w:t>
      </w:r>
      <w:r w:rsidR="00691867" w:rsidRPr="001505F1">
        <w:rPr>
          <w:sz w:val="24"/>
          <w:szCs w:val="24"/>
          <w:lang w:val="en-GB"/>
        </w:rPr>
        <w:t>At the very top</w:t>
      </w:r>
      <w:r w:rsidR="00C05061" w:rsidRPr="00691867">
        <w:rPr>
          <w:sz w:val="24"/>
          <w:szCs w:val="24"/>
          <w:lang w:val="en-GB"/>
        </w:rPr>
        <w:t xml:space="preserve">, </w:t>
      </w:r>
      <w:r w:rsidR="00691867">
        <w:rPr>
          <w:sz w:val="24"/>
          <w:szCs w:val="24"/>
          <w:lang w:val="en-GB"/>
        </w:rPr>
        <w:t xml:space="preserve">the increase in the W/I ratio </w:t>
      </w:r>
      <w:r w:rsidR="00354825">
        <w:rPr>
          <w:sz w:val="24"/>
          <w:szCs w:val="24"/>
          <w:lang w:val="en-GB"/>
        </w:rPr>
        <w:t>seems un</w:t>
      </w:r>
      <w:r w:rsidR="00691867">
        <w:rPr>
          <w:sz w:val="24"/>
          <w:szCs w:val="24"/>
          <w:lang w:val="en-GB"/>
        </w:rPr>
        <w:t>significant</w:t>
      </w:r>
      <w:r w:rsidR="00C05061" w:rsidRPr="00691867">
        <w:rPr>
          <w:sz w:val="24"/>
          <w:szCs w:val="24"/>
          <w:lang w:val="en-GB"/>
        </w:rPr>
        <w:t xml:space="preserve">. </w:t>
      </w:r>
    </w:p>
    <w:p w14:paraId="4409AE43" w14:textId="77777777" w:rsidR="00AF1BA6" w:rsidRDefault="00AF1BA6" w:rsidP="00AF0CE3">
      <w:pPr>
        <w:spacing w:after="120" w:line="480" w:lineRule="auto"/>
        <w:jc w:val="both"/>
        <w:rPr>
          <w:sz w:val="24"/>
          <w:szCs w:val="24"/>
          <w:lang w:val="en-GB"/>
        </w:rPr>
      </w:pPr>
    </w:p>
    <w:p w14:paraId="7C5AA062" w14:textId="5BD8B10E" w:rsidR="00355988" w:rsidRPr="003A54AD" w:rsidRDefault="00355988" w:rsidP="00AF0CE3">
      <w:pPr>
        <w:numPr>
          <w:ilvl w:val="0"/>
          <w:numId w:val="12"/>
        </w:numPr>
        <w:spacing w:after="120" w:line="480" w:lineRule="auto"/>
        <w:jc w:val="both"/>
        <w:rPr>
          <w:b/>
          <w:sz w:val="24"/>
          <w:szCs w:val="24"/>
          <w:lang w:val="en-GB"/>
        </w:rPr>
      </w:pPr>
      <w:r>
        <w:rPr>
          <w:b/>
          <w:sz w:val="24"/>
          <w:szCs w:val="24"/>
          <w:lang w:val="en-US"/>
        </w:rPr>
        <w:t xml:space="preserve">Discussion and conclusion: a self-accelerating trend of inequality? </w:t>
      </w:r>
    </w:p>
    <w:p w14:paraId="3BC7CC82" w14:textId="6700D872" w:rsidR="00355988" w:rsidRDefault="00355988" w:rsidP="002A0B19">
      <w:pPr>
        <w:spacing w:after="120" w:line="480" w:lineRule="auto"/>
        <w:jc w:val="both"/>
        <w:rPr>
          <w:sz w:val="24"/>
          <w:szCs w:val="24"/>
          <w:lang w:val="en-GB"/>
        </w:rPr>
      </w:pPr>
      <w:r>
        <w:rPr>
          <w:sz w:val="24"/>
          <w:szCs w:val="24"/>
          <w:lang w:val="en-GB"/>
        </w:rPr>
        <w:t xml:space="preserve">This paper shows four </w:t>
      </w:r>
      <w:r w:rsidR="00AC4626">
        <w:rPr>
          <w:sz w:val="24"/>
          <w:szCs w:val="24"/>
          <w:lang w:val="en-GB"/>
        </w:rPr>
        <w:t xml:space="preserve">main results </w:t>
      </w:r>
      <w:r>
        <w:rPr>
          <w:sz w:val="24"/>
          <w:szCs w:val="24"/>
          <w:lang w:val="en-GB"/>
        </w:rPr>
        <w:t>on</w:t>
      </w:r>
      <w:r w:rsidR="00AC4626">
        <w:rPr>
          <w:sz w:val="24"/>
          <w:szCs w:val="24"/>
          <w:lang w:val="en-GB"/>
        </w:rPr>
        <w:t xml:space="preserve"> inequality</w:t>
      </w:r>
      <w:r>
        <w:rPr>
          <w:sz w:val="24"/>
          <w:szCs w:val="24"/>
          <w:lang w:val="en-GB"/>
        </w:rPr>
        <w:t xml:space="preserve"> </w:t>
      </w:r>
      <w:r w:rsidR="00F045FD">
        <w:rPr>
          <w:sz w:val="24"/>
          <w:szCs w:val="24"/>
          <w:lang w:val="en-GB"/>
        </w:rPr>
        <w:t xml:space="preserve">trends </w:t>
      </w:r>
      <w:r w:rsidR="00AC4626">
        <w:rPr>
          <w:sz w:val="24"/>
          <w:szCs w:val="24"/>
          <w:lang w:val="en-GB"/>
        </w:rPr>
        <w:t xml:space="preserve">in </w:t>
      </w:r>
      <w:r>
        <w:rPr>
          <w:sz w:val="24"/>
          <w:szCs w:val="24"/>
          <w:lang w:val="en-GB"/>
        </w:rPr>
        <w:t xml:space="preserve">the income and wealth </w:t>
      </w:r>
      <w:r w:rsidR="00F045FD">
        <w:rPr>
          <w:sz w:val="24"/>
          <w:szCs w:val="24"/>
          <w:lang w:val="en-GB"/>
        </w:rPr>
        <w:t xml:space="preserve">above the median </w:t>
      </w:r>
      <w:r>
        <w:rPr>
          <w:sz w:val="24"/>
          <w:szCs w:val="24"/>
          <w:lang w:val="en-GB"/>
        </w:rPr>
        <w:t xml:space="preserve">in the US. </w:t>
      </w:r>
      <w:r w:rsidR="00E313DF">
        <w:rPr>
          <w:sz w:val="24"/>
          <w:szCs w:val="24"/>
          <w:lang w:val="en-GB"/>
        </w:rPr>
        <w:t xml:space="preserve">Similar to previous studies </w:t>
      </w:r>
      <w:r w:rsidR="002A0B19" w:rsidRPr="00243A0B">
        <w:rPr>
          <w:sz w:val="24"/>
          <w:lang w:val="en-US"/>
        </w:rPr>
        <w:t>(Kennickell, 2009)</w:t>
      </w:r>
      <w:r w:rsidR="00E313DF">
        <w:rPr>
          <w:sz w:val="24"/>
          <w:szCs w:val="24"/>
          <w:lang w:val="en-GB"/>
        </w:rPr>
        <w:t>, b</w:t>
      </w:r>
      <w:r>
        <w:rPr>
          <w:sz w:val="24"/>
          <w:szCs w:val="24"/>
          <w:lang w:val="en-GB"/>
        </w:rPr>
        <w:t xml:space="preserve">oth income and wealth are showing substantial and significant increase in inequality </w:t>
      </w:r>
      <w:r w:rsidR="00710C3C">
        <w:rPr>
          <w:sz w:val="24"/>
          <w:szCs w:val="24"/>
          <w:lang w:val="en-GB"/>
        </w:rPr>
        <w:t xml:space="preserve">as </w:t>
      </w:r>
      <w:r>
        <w:rPr>
          <w:sz w:val="24"/>
          <w:szCs w:val="24"/>
          <w:lang w:val="en-GB"/>
        </w:rPr>
        <w:t>measured by the isograph method. The linkage between income and wealth above the median increased substantially and significantly; the growth of the log-log coefficient of determination is confirmed by logit-rank measures that are not affected by inequality changes</w:t>
      </w:r>
      <w:r w:rsidR="00AC4626">
        <w:rPr>
          <w:sz w:val="24"/>
          <w:szCs w:val="24"/>
          <w:lang w:val="en-GB"/>
        </w:rPr>
        <w:t>.</w:t>
      </w:r>
      <w:r w:rsidR="00D67CD9">
        <w:rPr>
          <w:sz w:val="24"/>
          <w:szCs w:val="24"/>
          <w:lang w:val="en-GB"/>
        </w:rPr>
        <w:t xml:space="preserve"> </w:t>
      </w:r>
      <w:r w:rsidR="00AC4626">
        <w:rPr>
          <w:sz w:val="24"/>
          <w:szCs w:val="24"/>
          <w:lang w:val="en-GB"/>
        </w:rPr>
        <w:t>T</w:t>
      </w:r>
      <w:r w:rsidR="00D67CD9">
        <w:rPr>
          <w:sz w:val="24"/>
          <w:szCs w:val="24"/>
          <w:lang w:val="en-GB"/>
        </w:rPr>
        <w:t>he joint income and wealth distribution</w:t>
      </w:r>
      <w:r w:rsidR="00D67CD9" w:rsidRPr="00D67CD9">
        <w:rPr>
          <w:sz w:val="24"/>
          <w:szCs w:val="24"/>
          <w:lang w:val="en-GB"/>
        </w:rPr>
        <w:t xml:space="preserve"> </w:t>
      </w:r>
      <w:r w:rsidR="00D67CD9">
        <w:rPr>
          <w:sz w:val="24"/>
          <w:szCs w:val="24"/>
          <w:lang w:val="en-GB"/>
        </w:rPr>
        <w:t>is more diagonal, with a more coherent (or rigid) relation between income and wealth</w:t>
      </w:r>
      <w:r>
        <w:rPr>
          <w:sz w:val="24"/>
          <w:szCs w:val="24"/>
          <w:lang w:val="en-GB"/>
        </w:rPr>
        <w:t>. Last but not least, the log</w:t>
      </w:r>
      <w:r w:rsidR="006C4EF7">
        <w:rPr>
          <w:sz w:val="24"/>
          <w:szCs w:val="24"/>
          <w:lang w:val="en-GB"/>
        </w:rPr>
        <w:t xml:space="preserve"> of the </w:t>
      </w:r>
      <w:r>
        <w:rPr>
          <w:sz w:val="24"/>
          <w:szCs w:val="24"/>
          <w:lang w:val="en-GB"/>
        </w:rPr>
        <w:t>W/I ratio</w:t>
      </w:r>
      <w:r w:rsidR="00D67CD9">
        <w:rPr>
          <w:sz w:val="24"/>
          <w:szCs w:val="24"/>
          <w:lang w:val="en-GB"/>
        </w:rPr>
        <w:t>, measured on the diagonal of the joint income and wealth distribution,</w:t>
      </w:r>
      <w:r>
        <w:rPr>
          <w:sz w:val="24"/>
          <w:szCs w:val="24"/>
          <w:lang w:val="en-GB"/>
        </w:rPr>
        <w:t xml:space="preserve"> </w:t>
      </w:r>
      <w:r w:rsidRPr="00A8023D">
        <w:rPr>
          <w:sz w:val="24"/>
          <w:szCs w:val="24"/>
          <w:lang w:val="en-GB"/>
        </w:rPr>
        <w:t xml:space="preserve">shows an increasing accumulation of wealth in the </w:t>
      </w:r>
      <w:r w:rsidR="00DD6378" w:rsidRPr="001505F1">
        <w:rPr>
          <w:sz w:val="24"/>
          <w:szCs w:val="24"/>
          <w:lang w:val="en-GB"/>
        </w:rPr>
        <w:t>top 3-5%</w:t>
      </w:r>
      <w:r w:rsidRPr="00A8023D">
        <w:rPr>
          <w:sz w:val="24"/>
          <w:szCs w:val="24"/>
          <w:lang w:val="en-GB"/>
        </w:rPr>
        <w:t xml:space="preserve"> of the distribution (</w:t>
      </w:r>
      <w:r w:rsidR="00DD6378" w:rsidRPr="001505F1">
        <w:rPr>
          <w:sz w:val="24"/>
          <w:szCs w:val="24"/>
          <w:lang w:val="en-GB"/>
        </w:rPr>
        <w:t xml:space="preserve">logitranks </w:t>
      </w:r>
      <w:r w:rsidRPr="00A8023D">
        <w:rPr>
          <w:sz w:val="24"/>
          <w:szCs w:val="24"/>
          <w:lang w:val="en-GB"/>
        </w:rPr>
        <w:t xml:space="preserve">between </w:t>
      </w:r>
      <w:r w:rsidR="00DD6378" w:rsidRPr="001505F1">
        <w:rPr>
          <w:sz w:val="24"/>
          <w:szCs w:val="24"/>
          <w:lang w:val="en-GB"/>
        </w:rPr>
        <w:t>3</w:t>
      </w:r>
      <w:r w:rsidRPr="00A8023D">
        <w:rPr>
          <w:sz w:val="24"/>
          <w:szCs w:val="24"/>
          <w:lang w:val="en-GB"/>
        </w:rPr>
        <w:t xml:space="preserve"> and 4). </w:t>
      </w:r>
      <w:r w:rsidR="00D67CD9" w:rsidRPr="00A8023D">
        <w:rPr>
          <w:sz w:val="24"/>
          <w:szCs w:val="24"/>
          <w:lang w:val="en-GB"/>
        </w:rPr>
        <w:t xml:space="preserve">Near </w:t>
      </w:r>
      <w:r w:rsidR="00DD6378" w:rsidRPr="001505F1">
        <w:rPr>
          <w:sz w:val="24"/>
          <w:szCs w:val="24"/>
          <w:lang w:val="en-GB"/>
        </w:rPr>
        <w:t xml:space="preserve">the </w:t>
      </w:r>
      <w:r w:rsidR="00D67CD9" w:rsidRPr="00A8023D">
        <w:rPr>
          <w:sz w:val="24"/>
          <w:szCs w:val="24"/>
          <w:lang w:val="en-GB"/>
        </w:rPr>
        <w:t>95</w:t>
      </w:r>
      <w:r w:rsidR="006C4EF7" w:rsidRPr="00A8023D">
        <w:rPr>
          <w:sz w:val="24"/>
          <w:szCs w:val="24"/>
          <w:vertAlign w:val="superscript"/>
          <w:lang w:val="en-GB"/>
        </w:rPr>
        <w:t>th</w:t>
      </w:r>
      <w:r w:rsidR="006C4EF7" w:rsidRPr="00A8023D">
        <w:rPr>
          <w:sz w:val="24"/>
          <w:szCs w:val="24"/>
          <w:lang w:val="en-GB"/>
        </w:rPr>
        <w:t xml:space="preserve"> percentile</w:t>
      </w:r>
      <w:r w:rsidR="00D67CD9" w:rsidRPr="00A8023D">
        <w:rPr>
          <w:sz w:val="24"/>
          <w:szCs w:val="24"/>
          <w:lang w:val="en-GB"/>
        </w:rPr>
        <w:t xml:space="preserve">, wealth </w:t>
      </w:r>
      <w:r w:rsidR="00AC4158" w:rsidRPr="001505F1">
        <w:rPr>
          <w:sz w:val="24"/>
          <w:szCs w:val="24"/>
          <w:lang w:val="en-GB"/>
        </w:rPr>
        <w:t>has risen</w:t>
      </w:r>
      <w:r w:rsidR="00D67CD9" w:rsidRPr="00A8023D">
        <w:rPr>
          <w:sz w:val="24"/>
          <w:szCs w:val="24"/>
          <w:lang w:val="en-GB"/>
        </w:rPr>
        <w:t xml:space="preserve"> </w:t>
      </w:r>
      <w:r w:rsidR="00AC4158" w:rsidRPr="001505F1">
        <w:rPr>
          <w:sz w:val="24"/>
          <w:szCs w:val="24"/>
          <w:lang w:val="en-GB"/>
        </w:rPr>
        <w:t>by</w:t>
      </w:r>
      <w:r w:rsidR="00D67CD9" w:rsidRPr="00A8023D">
        <w:rPr>
          <w:sz w:val="24"/>
          <w:szCs w:val="24"/>
          <w:lang w:val="en-GB"/>
        </w:rPr>
        <w:t xml:space="preserve"> </w:t>
      </w:r>
      <w:r w:rsidR="00DD6378">
        <w:rPr>
          <w:sz w:val="24"/>
          <w:szCs w:val="24"/>
          <w:lang w:val="en-GB"/>
        </w:rPr>
        <w:t>44% from 6.1 to 8.8 annual incomes</w:t>
      </w:r>
      <w:r w:rsidR="00AC4158">
        <w:rPr>
          <w:sz w:val="24"/>
          <w:szCs w:val="24"/>
          <w:lang w:val="en-GB"/>
        </w:rPr>
        <w:t xml:space="preserve">, while it </w:t>
      </w:r>
      <w:r w:rsidR="00A8023D">
        <w:rPr>
          <w:sz w:val="24"/>
          <w:szCs w:val="24"/>
          <w:lang w:val="en-GB"/>
        </w:rPr>
        <w:t>decreased</w:t>
      </w:r>
      <w:r w:rsidR="00AC4158">
        <w:rPr>
          <w:sz w:val="24"/>
          <w:szCs w:val="24"/>
          <w:lang w:val="en-GB"/>
        </w:rPr>
        <w:t xml:space="preserve"> </w:t>
      </w:r>
      <w:r w:rsidR="00A8023D">
        <w:rPr>
          <w:sz w:val="24"/>
          <w:szCs w:val="24"/>
          <w:lang w:val="en-GB"/>
        </w:rPr>
        <w:t>in households in</w:t>
      </w:r>
      <w:r w:rsidR="00AC4158">
        <w:rPr>
          <w:sz w:val="24"/>
          <w:szCs w:val="24"/>
          <w:lang w:val="en-GB"/>
        </w:rPr>
        <w:t xml:space="preserve"> the decile above the median</w:t>
      </w:r>
      <w:r w:rsidR="00A8023D">
        <w:rPr>
          <w:sz w:val="24"/>
          <w:szCs w:val="24"/>
          <w:lang w:val="en-GB"/>
        </w:rPr>
        <w:t xml:space="preserve"> by up to 40%</w:t>
      </w:r>
      <w:r w:rsidR="00DD6378">
        <w:rPr>
          <w:sz w:val="24"/>
          <w:szCs w:val="24"/>
          <w:lang w:val="en-GB"/>
        </w:rPr>
        <w:t xml:space="preserve">. </w:t>
      </w:r>
      <w:r w:rsidR="00D67CD9">
        <w:rPr>
          <w:sz w:val="24"/>
          <w:szCs w:val="24"/>
          <w:lang w:val="en-GB"/>
        </w:rPr>
        <w:t xml:space="preserve"> </w:t>
      </w:r>
    </w:p>
    <w:p w14:paraId="66BC784C" w14:textId="479F61BC" w:rsidR="00D67CD9" w:rsidRDefault="00D67CD9">
      <w:pPr>
        <w:spacing w:after="120" w:line="480" w:lineRule="auto"/>
        <w:jc w:val="both"/>
        <w:rPr>
          <w:sz w:val="24"/>
          <w:szCs w:val="24"/>
          <w:lang w:val="en-GB"/>
        </w:rPr>
      </w:pPr>
      <w:r>
        <w:rPr>
          <w:sz w:val="24"/>
          <w:szCs w:val="24"/>
          <w:lang w:val="en-GB"/>
        </w:rPr>
        <w:t xml:space="preserve">The main conclusion of these four trends is that the median class </w:t>
      </w:r>
      <w:r w:rsidR="00E34E88">
        <w:rPr>
          <w:sz w:val="24"/>
          <w:szCs w:val="24"/>
          <w:lang w:val="en-GB"/>
        </w:rPr>
        <w:t>of the U</w:t>
      </w:r>
      <w:r w:rsidR="00354825">
        <w:rPr>
          <w:sz w:val="24"/>
          <w:szCs w:val="24"/>
          <w:lang w:val="en-GB"/>
        </w:rPr>
        <w:t>.</w:t>
      </w:r>
      <w:r w:rsidR="00E34E88">
        <w:rPr>
          <w:sz w:val="24"/>
          <w:szCs w:val="24"/>
          <w:lang w:val="en-GB"/>
        </w:rPr>
        <w:t>S</w:t>
      </w:r>
      <w:r w:rsidR="00354825">
        <w:rPr>
          <w:sz w:val="24"/>
          <w:szCs w:val="24"/>
          <w:lang w:val="en-GB"/>
        </w:rPr>
        <w:t>.</w:t>
      </w:r>
      <w:r w:rsidR="00E34E88">
        <w:rPr>
          <w:sz w:val="24"/>
          <w:szCs w:val="24"/>
          <w:lang w:val="en-GB"/>
        </w:rPr>
        <w:t xml:space="preserve"> population</w:t>
      </w:r>
      <w:r w:rsidR="00E34E88" w:rsidDel="00E34E88">
        <w:rPr>
          <w:sz w:val="24"/>
          <w:szCs w:val="24"/>
          <w:lang w:val="en-GB"/>
        </w:rPr>
        <w:t xml:space="preserve"> </w:t>
      </w:r>
      <w:r>
        <w:rPr>
          <w:sz w:val="24"/>
          <w:szCs w:val="24"/>
          <w:lang w:val="en-GB"/>
        </w:rPr>
        <w:t>and the upper-middle class</w:t>
      </w:r>
      <w:r w:rsidR="00E34E88">
        <w:rPr>
          <w:sz w:val="24"/>
          <w:szCs w:val="24"/>
          <w:lang w:val="en-GB"/>
        </w:rPr>
        <w:t xml:space="preserve">, the top </w:t>
      </w:r>
      <w:r w:rsidR="001F64CA">
        <w:rPr>
          <w:sz w:val="24"/>
          <w:szCs w:val="24"/>
          <w:lang w:val="en-GB"/>
        </w:rPr>
        <w:t>3-5%</w:t>
      </w:r>
      <w:r w:rsidR="00E34E88">
        <w:rPr>
          <w:sz w:val="24"/>
          <w:szCs w:val="24"/>
          <w:lang w:val="en-GB"/>
        </w:rPr>
        <w:t xml:space="preserve"> percent, are driven increasingly apart</w:t>
      </w:r>
      <w:r>
        <w:rPr>
          <w:sz w:val="24"/>
          <w:szCs w:val="24"/>
          <w:lang w:val="en-GB"/>
        </w:rPr>
        <w:t xml:space="preserve">. </w:t>
      </w:r>
      <w:r w:rsidR="00E34E88">
        <w:rPr>
          <w:sz w:val="24"/>
          <w:szCs w:val="24"/>
          <w:lang w:val="en-GB"/>
        </w:rPr>
        <w:t>That is, in addition to the</w:t>
      </w:r>
      <w:r>
        <w:rPr>
          <w:sz w:val="24"/>
          <w:szCs w:val="24"/>
          <w:lang w:val="en-GB"/>
        </w:rPr>
        <w:t xml:space="preserve"> </w:t>
      </w:r>
      <w:r w:rsidR="00E34E88">
        <w:rPr>
          <w:sz w:val="24"/>
          <w:szCs w:val="24"/>
          <w:lang w:val="en-GB"/>
        </w:rPr>
        <w:t xml:space="preserve">steep </w:t>
      </w:r>
      <w:r>
        <w:rPr>
          <w:sz w:val="24"/>
          <w:szCs w:val="24"/>
          <w:lang w:val="en-GB"/>
        </w:rPr>
        <w:t>increase in inequality</w:t>
      </w:r>
      <w:r w:rsidR="00E34E88">
        <w:rPr>
          <w:sz w:val="24"/>
          <w:szCs w:val="24"/>
          <w:lang w:val="en-GB"/>
        </w:rPr>
        <w:t xml:space="preserve"> over the last decades in the US</w:t>
      </w:r>
      <w:r>
        <w:rPr>
          <w:sz w:val="24"/>
          <w:szCs w:val="24"/>
          <w:lang w:val="en-GB"/>
        </w:rPr>
        <w:t xml:space="preserve">, the convergence of </w:t>
      </w:r>
      <w:r w:rsidR="00E34E88">
        <w:rPr>
          <w:sz w:val="24"/>
          <w:szCs w:val="24"/>
          <w:lang w:val="en-GB"/>
        </w:rPr>
        <w:t xml:space="preserve">income and wealth </w:t>
      </w:r>
      <w:r>
        <w:rPr>
          <w:sz w:val="24"/>
          <w:szCs w:val="24"/>
          <w:lang w:val="en-GB"/>
        </w:rPr>
        <w:t>trends</w:t>
      </w:r>
      <w:r w:rsidR="003D55BE">
        <w:rPr>
          <w:sz w:val="24"/>
          <w:szCs w:val="24"/>
          <w:lang w:val="en-GB"/>
        </w:rPr>
        <w:t xml:space="preserve"> also</w:t>
      </w:r>
      <w:r>
        <w:rPr>
          <w:sz w:val="24"/>
          <w:szCs w:val="24"/>
          <w:lang w:val="en-GB"/>
        </w:rPr>
        <w:t xml:space="preserve"> </w:t>
      </w:r>
      <w:r w:rsidR="00E34E88">
        <w:rPr>
          <w:sz w:val="24"/>
          <w:szCs w:val="24"/>
          <w:lang w:val="en-GB"/>
        </w:rPr>
        <w:t xml:space="preserve">seems </w:t>
      </w:r>
      <w:r>
        <w:rPr>
          <w:sz w:val="24"/>
          <w:szCs w:val="24"/>
          <w:lang w:val="en-GB"/>
        </w:rPr>
        <w:t xml:space="preserve">to ascertain the social </w:t>
      </w:r>
      <w:r w:rsidR="00471505">
        <w:rPr>
          <w:sz w:val="24"/>
          <w:szCs w:val="24"/>
          <w:lang w:val="en-GB"/>
        </w:rPr>
        <w:t xml:space="preserve">persistence </w:t>
      </w:r>
      <w:r>
        <w:rPr>
          <w:sz w:val="24"/>
          <w:szCs w:val="24"/>
          <w:lang w:val="en-GB"/>
        </w:rPr>
        <w:t>of economic power</w:t>
      </w:r>
      <w:r w:rsidR="00354825">
        <w:rPr>
          <w:sz w:val="24"/>
          <w:szCs w:val="24"/>
          <w:lang w:val="en-GB"/>
        </w:rPr>
        <w:t>, and its tendency to accumulation</w:t>
      </w:r>
      <w:r>
        <w:rPr>
          <w:sz w:val="24"/>
          <w:szCs w:val="24"/>
          <w:lang w:val="en-GB"/>
        </w:rPr>
        <w:t>. In the top percentiles</w:t>
      </w:r>
      <w:r w:rsidR="003D55BE">
        <w:rPr>
          <w:sz w:val="24"/>
          <w:szCs w:val="24"/>
          <w:lang w:val="en-GB"/>
        </w:rPr>
        <w:t>,</w:t>
      </w:r>
      <w:r>
        <w:rPr>
          <w:sz w:val="24"/>
          <w:szCs w:val="24"/>
          <w:lang w:val="en-GB"/>
        </w:rPr>
        <w:t xml:space="preserve"> </w:t>
      </w:r>
      <w:r w:rsidR="00710C3C">
        <w:rPr>
          <w:sz w:val="24"/>
          <w:szCs w:val="24"/>
          <w:lang w:val="en-GB"/>
        </w:rPr>
        <w:t>except</w:t>
      </w:r>
      <w:r>
        <w:rPr>
          <w:sz w:val="24"/>
          <w:szCs w:val="24"/>
          <w:lang w:val="en-GB"/>
        </w:rPr>
        <w:t xml:space="preserve"> the top </w:t>
      </w:r>
      <w:r w:rsidR="00710C3C">
        <w:rPr>
          <w:sz w:val="24"/>
          <w:szCs w:val="24"/>
          <w:lang w:val="en-GB"/>
        </w:rPr>
        <w:t>percent</w:t>
      </w:r>
      <w:r>
        <w:rPr>
          <w:sz w:val="24"/>
          <w:szCs w:val="24"/>
          <w:lang w:val="en-GB"/>
        </w:rPr>
        <w:t xml:space="preserve">, income and wealth are more </w:t>
      </w:r>
      <w:r>
        <w:rPr>
          <w:sz w:val="24"/>
          <w:szCs w:val="24"/>
          <w:lang w:val="en-GB"/>
        </w:rPr>
        <w:lastRenderedPageBreak/>
        <w:t>extreme</w:t>
      </w:r>
      <w:r w:rsidR="00DF080F">
        <w:rPr>
          <w:sz w:val="24"/>
          <w:szCs w:val="24"/>
          <w:lang w:val="en-GB"/>
        </w:rPr>
        <w:t xml:space="preserve"> than before</w:t>
      </w:r>
      <w:r>
        <w:rPr>
          <w:sz w:val="24"/>
          <w:szCs w:val="24"/>
          <w:lang w:val="en-GB"/>
        </w:rPr>
        <w:t xml:space="preserve">, </w:t>
      </w:r>
      <w:r w:rsidR="00EB5420">
        <w:rPr>
          <w:sz w:val="24"/>
          <w:szCs w:val="24"/>
          <w:lang w:val="en-GB"/>
        </w:rPr>
        <w:t xml:space="preserve">with rankings that are more consistent on </w:t>
      </w:r>
      <w:r w:rsidR="003D55BE">
        <w:rPr>
          <w:sz w:val="24"/>
          <w:szCs w:val="24"/>
          <w:lang w:val="en-GB"/>
        </w:rPr>
        <w:t>both</w:t>
      </w:r>
      <w:r w:rsidR="00EB5420">
        <w:rPr>
          <w:sz w:val="24"/>
          <w:szCs w:val="24"/>
          <w:lang w:val="en-GB"/>
        </w:rPr>
        <w:t xml:space="preserve"> scales, </w:t>
      </w:r>
      <w:r w:rsidR="003F27E2">
        <w:rPr>
          <w:sz w:val="24"/>
          <w:szCs w:val="24"/>
          <w:lang w:val="en-GB"/>
        </w:rPr>
        <w:t xml:space="preserve">and </w:t>
      </w:r>
      <w:r w:rsidR="00EB5420">
        <w:rPr>
          <w:sz w:val="24"/>
          <w:szCs w:val="24"/>
          <w:lang w:val="en-GB"/>
        </w:rPr>
        <w:t xml:space="preserve">where wealth represents an increasing number of years of </w:t>
      </w:r>
      <w:r w:rsidR="003D55BE">
        <w:rPr>
          <w:sz w:val="24"/>
          <w:szCs w:val="24"/>
          <w:lang w:val="en-GB"/>
        </w:rPr>
        <w:t xml:space="preserve">earnings and thus </w:t>
      </w:r>
      <w:r w:rsidR="00EB5420">
        <w:rPr>
          <w:sz w:val="24"/>
          <w:szCs w:val="24"/>
          <w:lang w:val="en-GB"/>
        </w:rPr>
        <w:t xml:space="preserve">savings. </w:t>
      </w:r>
      <w:r w:rsidR="00F212A3">
        <w:rPr>
          <w:sz w:val="24"/>
          <w:szCs w:val="24"/>
          <w:lang w:val="en-GB"/>
        </w:rPr>
        <w:t>Others have shown that t</w:t>
      </w:r>
      <w:r w:rsidR="00EB5420">
        <w:rPr>
          <w:sz w:val="24"/>
          <w:szCs w:val="24"/>
          <w:lang w:val="en-GB"/>
        </w:rPr>
        <w:t xml:space="preserve">hese levels of income and wealth fit with the educational levels of the upper category of university students, whose parents are more consistently richer in income, able to afford higher tuition and fees for their </w:t>
      </w:r>
      <w:r w:rsidR="00DB486A">
        <w:rPr>
          <w:sz w:val="24"/>
          <w:szCs w:val="24"/>
          <w:lang w:val="en-GB"/>
        </w:rPr>
        <w:t>children</w:t>
      </w:r>
      <w:r w:rsidR="00EB5420">
        <w:rPr>
          <w:sz w:val="24"/>
          <w:szCs w:val="24"/>
          <w:lang w:val="en-GB"/>
        </w:rPr>
        <w:t xml:space="preserve"> in </w:t>
      </w:r>
      <w:r w:rsidR="00DB486A">
        <w:rPr>
          <w:sz w:val="24"/>
          <w:szCs w:val="24"/>
          <w:lang w:val="en-GB"/>
        </w:rPr>
        <w:t xml:space="preserve">more </w:t>
      </w:r>
      <w:r w:rsidR="00EB5420">
        <w:rPr>
          <w:sz w:val="24"/>
          <w:szCs w:val="24"/>
          <w:lang w:val="en-GB"/>
        </w:rPr>
        <w:t>selective universit</w:t>
      </w:r>
      <w:r w:rsidR="00DB486A">
        <w:rPr>
          <w:sz w:val="24"/>
          <w:szCs w:val="24"/>
          <w:lang w:val="en-GB"/>
        </w:rPr>
        <w:t>ies</w:t>
      </w:r>
      <w:r w:rsidR="00EB5420">
        <w:rPr>
          <w:sz w:val="24"/>
          <w:szCs w:val="24"/>
          <w:lang w:val="en-GB"/>
        </w:rPr>
        <w:t xml:space="preserve">, before these </w:t>
      </w:r>
      <w:r w:rsidR="00DB486A">
        <w:rPr>
          <w:sz w:val="24"/>
          <w:szCs w:val="24"/>
          <w:lang w:val="en-GB"/>
        </w:rPr>
        <w:t>children</w:t>
      </w:r>
      <w:r w:rsidR="00EB5420">
        <w:rPr>
          <w:sz w:val="24"/>
          <w:szCs w:val="24"/>
          <w:lang w:val="en-GB"/>
        </w:rPr>
        <w:t xml:space="preserve"> can enter in the most lucrative occupations</w:t>
      </w:r>
      <w:r w:rsidR="002E6ED7">
        <w:rPr>
          <w:sz w:val="24"/>
          <w:szCs w:val="24"/>
          <w:lang w:val="en-GB"/>
        </w:rPr>
        <w:t xml:space="preserve"> </w:t>
      </w:r>
      <w:r w:rsidR="002E6ED7" w:rsidRPr="00AF0CE3">
        <w:rPr>
          <w:sz w:val="24"/>
          <w:lang w:val="en-US"/>
        </w:rPr>
        <w:t xml:space="preserve">(Corak, 2013; Chetty, 2017; Jencks </w:t>
      </w:r>
      <w:r w:rsidR="00847855">
        <w:rPr>
          <w:sz w:val="24"/>
          <w:lang w:val="en-US"/>
        </w:rPr>
        <w:t>et al</w:t>
      </w:r>
      <w:r w:rsidR="002E6ED7" w:rsidRPr="00AF0CE3">
        <w:rPr>
          <w:sz w:val="24"/>
          <w:lang w:val="en-US"/>
        </w:rPr>
        <w:t>, 1972; Jerrim &amp; Macmillan, 2015</w:t>
      </w:r>
      <w:r w:rsidR="00DF080F">
        <w:rPr>
          <w:sz w:val="24"/>
          <w:lang w:val="en-US"/>
        </w:rPr>
        <w:t xml:space="preserve">; </w:t>
      </w:r>
      <w:r w:rsidR="00E81CB6">
        <w:rPr>
          <w:sz w:val="24"/>
          <w:lang w:val="en-US"/>
        </w:rPr>
        <w:t>Aisch et al</w:t>
      </w:r>
      <w:r w:rsidR="00DF080F">
        <w:rPr>
          <w:sz w:val="24"/>
          <w:lang w:val="en-US"/>
        </w:rPr>
        <w:t>,</w:t>
      </w:r>
      <w:r w:rsidR="00E81CB6">
        <w:rPr>
          <w:sz w:val="24"/>
          <w:lang w:val="en-US"/>
        </w:rPr>
        <w:t xml:space="preserve"> 2017</w:t>
      </w:r>
      <w:r w:rsidR="002E6ED7" w:rsidRPr="00AF0CE3">
        <w:rPr>
          <w:sz w:val="24"/>
          <w:lang w:val="en-US"/>
        </w:rPr>
        <w:t>)</w:t>
      </w:r>
      <w:r w:rsidR="00EB5420">
        <w:rPr>
          <w:sz w:val="24"/>
          <w:szCs w:val="24"/>
          <w:lang w:val="en-GB"/>
        </w:rPr>
        <w:t xml:space="preserve">. </w:t>
      </w:r>
      <w:r w:rsidR="00F212A3">
        <w:rPr>
          <w:sz w:val="24"/>
          <w:szCs w:val="24"/>
          <w:lang w:val="en-GB"/>
        </w:rPr>
        <w:t>T</w:t>
      </w:r>
      <w:r w:rsidR="00EB5420">
        <w:rPr>
          <w:sz w:val="24"/>
          <w:szCs w:val="24"/>
          <w:lang w:val="en-GB"/>
        </w:rPr>
        <w:t xml:space="preserve">hese four trends </w:t>
      </w:r>
      <w:r w:rsidR="00F212A3">
        <w:rPr>
          <w:sz w:val="24"/>
          <w:szCs w:val="24"/>
          <w:lang w:val="en-GB"/>
        </w:rPr>
        <w:t xml:space="preserve">may </w:t>
      </w:r>
      <w:r w:rsidR="00EB5420">
        <w:rPr>
          <w:sz w:val="24"/>
          <w:szCs w:val="24"/>
          <w:lang w:val="en-GB"/>
        </w:rPr>
        <w:t>promot</w:t>
      </w:r>
      <w:r w:rsidR="00F212A3">
        <w:rPr>
          <w:sz w:val="24"/>
          <w:szCs w:val="24"/>
          <w:lang w:val="en-GB"/>
        </w:rPr>
        <w:t>e</w:t>
      </w:r>
      <w:r w:rsidR="00EB5420">
        <w:rPr>
          <w:sz w:val="24"/>
          <w:szCs w:val="24"/>
          <w:lang w:val="en-GB"/>
        </w:rPr>
        <w:t xml:space="preserve"> a spiral of deepening social immobility, contrary </w:t>
      </w:r>
      <w:r w:rsidR="00F212A3">
        <w:rPr>
          <w:sz w:val="24"/>
          <w:szCs w:val="24"/>
          <w:lang w:val="en-GB"/>
        </w:rPr>
        <w:t xml:space="preserve">to the </w:t>
      </w:r>
      <w:r w:rsidR="00EB5420">
        <w:rPr>
          <w:sz w:val="24"/>
          <w:szCs w:val="24"/>
          <w:lang w:val="en-GB"/>
        </w:rPr>
        <w:t xml:space="preserve">meritocratic dream. </w:t>
      </w:r>
    </w:p>
    <w:p w14:paraId="4875489B" w14:textId="65AF25CF" w:rsidR="00354825" w:rsidRDefault="00354825">
      <w:pPr>
        <w:spacing w:after="120" w:line="480" w:lineRule="auto"/>
        <w:jc w:val="both"/>
        <w:rPr>
          <w:sz w:val="24"/>
          <w:szCs w:val="24"/>
          <w:lang w:val="en-GB"/>
        </w:rPr>
      </w:pPr>
      <w:r>
        <w:rPr>
          <w:sz w:val="24"/>
          <w:szCs w:val="24"/>
          <w:lang w:val="en-GB"/>
        </w:rPr>
        <w:t xml:space="preserve">This means a trend to the self-acceleration of a process to extreme inequality (Piketty 2014) since the wealthiest and income-richest groups of the population benefit from even more opportunities of accumulation. It is precisely what we find with the sling effect, even if we still have difficulties to observe trends above the </w:t>
      </w:r>
      <w:r w:rsidR="00462F38">
        <w:rPr>
          <w:sz w:val="24"/>
          <w:szCs w:val="24"/>
          <w:lang w:val="en-GB"/>
        </w:rPr>
        <w:t>top 1% (X=5)</w:t>
      </w:r>
      <w:r>
        <w:rPr>
          <w:sz w:val="24"/>
          <w:szCs w:val="24"/>
          <w:lang w:val="en-GB"/>
        </w:rPr>
        <w:t xml:space="preserve">. </w:t>
      </w:r>
    </w:p>
    <w:p w14:paraId="1CEF72CD" w14:textId="13FC8A27" w:rsidR="00F212A3" w:rsidRDefault="00F212A3" w:rsidP="00D1582C">
      <w:pPr>
        <w:spacing w:after="120" w:line="480" w:lineRule="auto"/>
        <w:jc w:val="both"/>
        <w:rPr>
          <w:sz w:val="24"/>
          <w:szCs w:val="24"/>
          <w:lang w:val="en-GB"/>
        </w:rPr>
      </w:pPr>
      <w:r>
        <w:rPr>
          <w:sz w:val="24"/>
          <w:szCs w:val="24"/>
          <w:lang w:val="en-GB"/>
        </w:rPr>
        <w:t xml:space="preserve">These findings should therefore also be relevant for policy making. While income inequality has become a recognised issue -albeit </w:t>
      </w:r>
      <w:r w:rsidR="003D55BE">
        <w:rPr>
          <w:sz w:val="24"/>
          <w:szCs w:val="24"/>
          <w:lang w:val="en-GB"/>
        </w:rPr>
        <w:t xml:space="preserve">still </w:t>
      </w:r>
      <w:r>
        <w:rPr>
          <w:sz w:val="24"/>
          <w:szCs w:val="24"/>
          <w:lang w:val="en-GB"/>
        </w:rPr>
        <w:t xml:space="preserve">lacking policy responses- there is </w:t>
      </w:r>
      <w:r w:rsidR="00471505">
        <w:rPr>
          <w:sz w:val="24"/>
          <w:szCs w:val="24"/>
          <w:lang w:val="en-GB"/>
        </w:rPr>
        <w:t>less</w:t>
      </w:r>
      <w:r>
        <w:rPr>
          <w:sz w:val="24"/>
          <w:szCs w:val="24"/>
          <w:lang w:val="en-GB"/>
        </w:rPr>
        <w:t xml:space="preserve"> awareness about wealth inequalities, le</w:t>
      </w:r>
      <w:r w:rsidR="00471505">
        <w:rPr>
          <w:sz w:val="24"/>
          <w:szCs w:val="24"/>
          <w:lang w:val="en-GB"/>
        </w:rPr>
        <w:t>t</w:t>
      </w:r>
      <w:r>
        <w:rPr>
          <w:sz w:val="24"/>
          <w:szCs w:val="24"/>
          <w:lang w:val="en-GB"/>
        </w:rPr>
        <w:t xml:space="preserve"> alone public debate on how to tackle it (Atkinson, 2016</w:t>
      </w:r>
      <w:r w:rsidR="003D55BE">
        <w:rPr>
          <w:sz w:val="24"/>
          <w:szCs w:val="24"/>
          <w:lang w:val="en-GB"/>
        </w:rPr>
        <w:t>; Cowell et al., 2017</w:t>
      </w:r>
      <w:r>
        <w:rPr>
          <w:sz w:val="24"/>
          <w:szCs w:val="24"/>
          <w:lang w:val="en-GB"/>
        </w:rPr>
        <w:t xml:space="preserve">). In his last book, Tony Atkinson </w:t>
      </w:r>
      <w:r w:rsidR="00854E33">
        <w:rPr>
          <w:sz w:val="24"/>
          <w:szCs w:val="24"/>
          <w:lang w:val="en-GB"/>
        </w:rPr>
        <w:t>(2016) promoted the idea –among others</w:t>
      </w:r>
      <w:r w:rsidR="00854E33" w:rsidRPr="008022A2">
        <w:rPr>
          <w:sz w:val="24"/>
          <w:szCs w:val="24"/>
          <w:lang w:val="en-GB"/>
        </w:rPr>
        <w:t>-</w:t>
      </w:r>
      <w:r w:rsidR="00854E33" w:rsidRPr="004B4E43">
        <w:rPr>
          <w:sz w:val="24"/>
          <w:szCs w:val="24"/>
          <w:lang w:val="en-GB"/>
        </w:rPr>
        <w:t xml:space="preserve"> </w:t>
      </w:r>
      <w:r w:rsidR="00854E33">
        <w:rPr>
          <w:sz w:val="24"/>
          <w:szCs w:val="24"/>
          <w:lang w:val="en-GB"/>
        </w:rPr>
        <w:t xml:space="preserve">to </w:t>
      </w:r>
      <w:r w:rsidR="00854E33" w:rsidRPr="001505F1">
        <w:rPr>
          <w:sz w:val="24"/>
          <w:lang w:val="en-US"/>
        </w:rPr>
        <w:t>examine the option of an annual wealth tax and how it can be successfully (re-</w:t>
      </w:r>
      <w:r w:rsidR="00D1582C">
        <w:rPr>
          <w:rFonts w:hint="cs"/>
          <w:sz w:val="24"/>
          <w:rtl/>
          <w:lang w:bidi="he-IL"/>
        </w:rPr>
        <w:t xml:space="preserve"> </w:t>
      </w:r>
      <w:r w:rsidR="00854E33" w:rsidRPr="001505F1">
        <w:rPr>
          <w:sz w:val="24"/>
          <w:lang w:val="en-US"/>
        </w:rPr>
        <w:t xml:space="preserve">introduced to reach a more equal distribution of wealth. </w:t>
      </w:r>
    </w:p>
    <w:p w14:paraId="1C645C96" w14:textId="55D3157B" w:rsidR="00D463E5" w:rsidRDefault="00D67CD9" w:rsidP="00AC56B9">
      <w:pPr>
        <w:spacing w:after="120" w:line="480" w:lineRule="auto"/>
        <w:jc w:val="both"/>
        <w:rPr>
          <w:sz w:val="24"/>
          <w:szCs w:val="24"/>
          <w:lang w:val="en-GB"/>
        </w:rPr>
      </w:pPr>
      <w:r>
        <w:rPr>
          <w:sz w:val="24"/>
          <w:szCs w:val="24"/>
          <w:lang w:val="en-GB"/>
        </w:rPr>
        <w:t xml:space="preserve">At this stage, the diagnosis on the </w:t>
      </w:r>
      <w:r w:rsidR="009F3DB2">
        <w:rPr>
          <w:sz w:val="24"/>
          <w:szCs w:val="24"/>
          <w:lang w:val="en-GB"/>
        </w:rPr>
        <w:t>top</w:t>
      </w:r>
      <w:r>
        <w:rPr>
          <w:sz w:val="24"/>
          <w:szCs w:val="24"/>
          <w:lang w:val="en-GB"/>
        </w:rPr>
        <w:t xml:space="preserve"> </w:t>
      </w:r>
      <w:r w:rsidR="009F3DB2">
        <w:rPr>
          <w:sz w:val="24"/>
          <w:szCs w:val="24"/>
          <w:lang w:val="en-GB"/>
        </w:rPr>
        <w:t xml:space="preserve">one percent </w:t>
      </w:r>
      <w:r>
        <w:rPr>
          <w:sz w:val="24"/>
          <w:szCs w:val="24"/>
          <w:lang w:val="en-GB"/>
        </w:rPr>
        <w:t>of the income and wealth scale</w:t>
      </w:r>
      <w:r w:rsidR="009F3DB2">
        <w:rPr>
          <w:sz w:val="24"/>
          <w:szCs w:val="24"/>
          <w:lang w:val="en-GB"/>
        </w:rPr>
        <w:t xml:space="preserve"> </w:t>
      </w:r>
      <w:r>
        <w:rPr>
          <w:sz w:val="24"/>
          <w:szCs w:val="24"/>
          <w:lang w:val="en-GB"/>
        </w:rPr>
        <w:t>remain</w:t>
      </w:r>
      <w:r w:rsidR="004267CC">
        <w:rPr>
          <w:sz w:val="24"/>
          <w:szCs w:val="24"/>
          <w:lang w:val="en-GB"/>
        </w:rPr>
        <w:t>s</w:t>
      </w:r>
      <w:r>
        <w:rPr>
          <w:sz w:val="24"/>
          <w:szCs w:val="24"/>
          <w:lang w:val="en-GB"/>
        </w:rPr>
        <w:t xml:space="preserve"> uncertain. Even if the </w:t>
      </w:r>
      <w:r w:rsidR="00710C3C">
        <w:rPr>
          <w:sz w:val="24"/>
          <w:szCs w:val="24"/>
          <w:lang w:val="en-GB"/>
        </w:rPr>
        <w:t xml:space="preserve">LWS </w:t>
      </w:r>
      <w:r w:rsidR="00EB5420">
        <w:rPr>
          <w:sz w:val="24"/>
          <w:szCs w:val="24"/>
          <w:lang w:val="en-GB"/>
        </w:rPr>
        <w:t xml:space="preserve">is designed to represent better the top of resource distributions, the size of the sample </w:t>
      </w:r>
      <w:r w:rsidR="009F3DB2">
        <w:rPr>
          <w:sz w:val="24"/>
          <w:szCs w:val="24"/>
          <w:lang w:val="en-GB"/>
        </w:rPr>
        <w:t xml:space="preserve">is </w:t>
      </w:r>
      <w:r w:rsidR="00EB5420">
        <w:rPr>
          <w:sz w:val="24"/>
          <w:szCs w:val="24"/>
          <w:lang w:val="en-GB"/>
        </w:rPr>
        <w:t xml:space="preserve">limited. </w:t>
      </w:r>
      <w:r w:rsidR="009F3DB2">
        <w:rPr>
          <w:sz w:val="24"/>
          <w:szCs w:val="24"/>
          <w:lang w:val="en-GB"/>
        </w:rPr>
        <w:t>Administrative or Census data could remedy this limitation</w:t>
      </w:r>
      <w:r w:rsidR="00F212A3">
        <w:rPr>
          <w:sz w:val="24"/>
          <w:szCs w:val="24"/>
          <w:lang w:val="en-GB"/>
        </w:rPr>
        <w:t xml:space="preserve"> and give robust insights to inequality at the top</w:t>
      </w:r>
      <w:r w:rsidR="009F3DB2">
        <w:rPr>
          <w:sz w:val="24"/>
          <w:szCs w:val="24"/>
          <w:lang w:val="en-GB"/>
        </w:rPr>
        <w:t xml:space="preserve">. </w:t>
      </w:r>
      <w:r w:rsidR="00710C3C">
        <w:rPr>
          <w:sz w:val="24"/>
          <w:szCs w:val="24"/>
          <w:lang w:val="en-GB"/>
        </w:rPr>
        <w:t>An</w:t>
      </w:r>
      <w:r w:rsidR="009F3DB2">
        <w:rPr>
          <w:sz w:val="24"/>
          <w:szCs w:val="24"/>
          <w:lang w:val="en-GB"/>
        </w:rPr>
        <w:t>other</w:t>
      </w:r>
      <w:r w:rsidR="00EB5420">
        <w:rPr>
          <w:sz w:val="24"/>
          <w:szCs w:val="24"/>
          <w:lang w:val="en-GB"/>
        </w:rPr>
        <w:t xml:space="preserve"> interesting </w:t>
      </w:r>
      <w:r w:rsidR="00710C3C">
        <w:rPr>
          <w:sz w:val="24"/>
          <w:szCs w:val="24"/>
          <w:lang w:val="en-GB"/>
        </w:rPr>
        <w:t xml:space="preserve">addition to the literature would be an </w:t>
      </w:r>
      <w:r w:rsidR="00EB5420">
        <w:rPr>
          <w:sz w:val="24"/>
          <w:szCs w:val="24"/>
          <w:lang w:val="en-GB"/>
        </w:rPr>
        <w:t>international comparison</w:t>
      </w:r>
      <w:r w:rsidR="00710C3C">
        <w:rPr>
          <w:sz w:val="24"/>
          <w:szCs w:val="24"/>
          <w:lang w:val="en-GB"/>
        </w:rPr>
        <w:t xml:space="preserve"> based on the</w:t>
      </w:r>
      <w:r w:rsidR="00EB5420">
        <w:rPr>
          <w:sz w:val="24"/>
          <w:szCs w:val="24"/>
          <w:lang w:val="en-GB"/>
        </w:rPr>
        <w:t xml:space="preserve"> </w:t>
      </w:r>
      <w:r w:rsidR="0029312E">
        <w:rPr>
          <w:sz w:val="24"/>
          <w:szCs w:val="24"/>
          <w:lang w:val="en-GB"/>
        </w:rPr>
        <w:t xml:space="preserve">other countries that are represented in the </w:t>
      </w:r>
      <w:r w:rsidR="00EB5420">
        <w:rPr>
          <w:sz w:val="24"/>
          <w:szCs w:val="24"/>
          <w:lang w:val="en-GB"/>
        </w:rPr>
        <w:t>LWS</w:t>
      </w:r>
      <w:r w:rsidR="00710C3C">
        <w:rPr>
          <w:sz w:val="24"/>
          <w:szCs w:val="24"/>
          <w:lang w:val="en-GB"/>
        </w:rPr>
        <w:t>, which</w:t>
      </w:r>
      <w:r w:rsidR="00EB5420">
        <w:rPr>
          <w:sz w:val="24"/>
          <w:szCs w:val="24"/>
          <w:lang w:val="en-GB"/>
        </w:rPr>
        <w:t xml:space="preserve"> could </w:t>
      </w:r>
      <w:r w:rsidR="00710C3C">
        <w:rPr>
          <w:sz w:val="24"/>
          <w:szCs w:val="24"/>
          <w:lang w:val="en-GB"/>
        </w:rPr>
        <w:t xml:space="preserve">advance our current </w:t>
      </w:r>
      <w:r w:rsidR="00EB5420">
        <w:rPr>
          <w:sz w:val="24"/>
          <w:szCs w:val="24"/>
          <w:lang w:val="en-GB"/>
        </w:rPr>
        <w:t>understand</w:t>
      </w:r>
      <w:r w:rsidR="00710C3C">
        <w:rPr>
          <w:sz w:val="24"/>
          <w:szCs w:val="24"/>
          <w:lang w:val="en-GB"/>
        </w:rPr>
        <w:t>ing of</w:t>
      </w:r>
      <w:r w:rsidR="00EB5420">
        <w:rPr>
          <w:sz w:val="24"/>
          <w:szCs w:val="24"/>
          <w:lang w:val="en-GB"/>
        </w:rPr>
        <w:t xml:space="preserve"> the exceptionalism </w:t>
      </w:r>
      <w:r w:rsidR="00710C3C">
        <w:rPr>
          <w:sz w:val="24"/>
          <w:szCs w:val="24"/>
          <w:lang w:val="en-GB"/>
        </w:rPr>
        <w:t>of the US</w:t>
      </w:r>
      <w:r w:rsidR="00EB5420">
        <w:rPr>
          <w:sz w:val="24"/>
          <w:szCs w:val="24"/>
          <w:lang w:val="en-GB"/>
        </w:rPr>
        <w:t xml:space="preserve">. </w:t>
      </w:r>
    </w:p>
    <w:p w14:paraId="502EF199" w14:textId="4F1DAFFA" w:rsidR="00AB1791" w:rsidRDefault="00AB1791">
      <w:pPr>
        <w:rPr>
          <w:b/>
          <w:bCs/>
          <w:sz w:val="24"/>
          <w:szCs w:val="24"/>
          <w:lang w:val="en-US"/>
        </w:rPr>
      </w:pPr>
    </w:p>
    <w:p w14:paraId="0ACD1FB1" w14:textId="64B5087C" w:rsidR="005D34F3" w:rsidRPr="005D34F3" w:rsidRDefault="00864748" w:rsidP="001505F1">
      <w:pPr>
        <w:spacing w:line="480" w:lineRule="auto"/>
        <w:outlineLvl w:val="0"/>
        <w:rPr>
          <w:lang w:val="en-US"/>
        </w:rPr>
      </w:pPr>
      <w:r w:rsidRPr="00DF0D2F">
        <w:rPr>
          <w:b/>
          <w:bCs/>
          <w:sz w:val="24"/>
          <w:szCs w:val="24"/>
          <w:lang w:val="en-US"/>
        </w:rPr>
        <w:lastRenderedPageBreak/>
        <w:t xml:space="preserve">References </w:t>
      </w:r>
    </w:p>
    <w:p w14:paraId="293414A4" w14:textId="77777777" w:rsidR="00847855" w:rsidRPr="0075198D" w:rsidRDefault="00847855" w:rsidP="00847855">
      <w:pPr>
        <w:pStyle w:val="Bibliography"/>
        <w:jc w:val="both"/>
        <w:rPr>
          <w:lang w:val="en-US"/>
        </w:rPr>
      </w:pPr>
      <w:r w:rsidRPr="009930D2">
        <w:rPr>
          <w:lang w:val="en-US"/>
        </w:rPr>
        <w:t>Aisch</w:t>
      </w:r>
      <w:r w:rsidRPr="00AC56B9">
        <w:rPr>
          <w:lang w:val="en-US"/>
        </w:rPr>
        <w:t>, G</w:t>
      </w:r>
      <w:r w:rsidRPr="009930D2">
        <w:rPr>
          <w:lang w:val="en-US"/>
        </w:rPr>
        <w:t>., et al.</w:t>
      </w:r>
      <w:r w:rsidRPr="0075198D">
        <w:rPr>
          <w:lang w:val="en-US"/>
        </w:rPr>
        <w:t xml:space="preserve"> (2017</w:t>
      </w:r>
      <w:r w:rsidRPr="009930D2">
        <w:rPr>
          <w:lang w:val="en-US"/>
        </w:rPr>
        <w:t>). Some Colleges Have More Students From the Top 1 Percent Than the Bottom 60. Find Yours.</w:t>
      </w:r>
      <w:r w:rsidRPr="0075198D">
        <w:rPr>
          <w:lang w:val="en-US"/>
        </w:rPr>
        <w:t xml:space="preserve"> </w:t>
      </w:r>
      <w:r w:rsidRPr="0075198D">
        <w:rPr>
          <w:i/>
          <w:iCs/>
          <w:lang w:val="en-US"/>
        </w:rPr>
        <w:t>The New York Times</w:t>
      </w:r>
      <w:r w:rsidRPr="009930D2">
        <w:rPr>
          <w:i/>
          <w:iCs/>
          <w:lang w:val="en-US"/>
        </w:rPr>
        <w:t xml:space="preserve">, </w:t>
      </w:r>
      <w:r w:rsidRPr="009930D2">
        <w:rPr>
          <w:lang w:val="en-US"/>
        </w:rPr>
        <w:t>2017, January 18</w:t>
      </w:r>
      <w:r w:rsidRPr="0075198D">
        <w:rPr>
          <w:lang w:val="en-US"/>
        </w:rPr>
        <w:t>. Retrieved from https://www.nytimes.com/interactive/projects/college-mobility/</w:t>
      </w:r>
    </w:p>
    <w:p w14:paraId="7A4581CB" w14:textId="77777777" w:rsidR="005D34F3" w:rsidRDefault="005D34F3" w:rsidP="001505F1">
      <w:pPr>
        <w:pStyle w:val="Bibliography"/>
        <w:jc w:val="both"/>
        <w:rPr>
          <w:lang w:val="en-US"/>
        </w:rPr>
      </w:pPr>
      <w:r w:rsidRPr="005D34F3">
        <w:rPr>
          <w:lang w:val="en-US"/>
        </w:rPr>
        <w:t>Atkinson, A. B. (1970) On the measurement of inequality, Journal of Economic Theory, 2, 244–263.</w:t>
      </w:r>
      <w:r>
        <w:rPr>
          <w:lang w:val="en-US"/>
        </w:rPr>
        <w:t xml:space="preserve"> </w:t>
      </w:r>
    </w:p>
    <w:p w14:paraId="71198194" w14:textId="77777777" w:rsidR="002A0B19" w:rsidRPr="0075198D" w:rsidRDefault="002A0B19" w:rsidP="00102F73">
      <w:pPr>
        <w:pStyle w:val="Bibliography"/>
        <w:jc w:val="both"/>
        <w:rPr>
          <w:lang w:val="en-US"/>
        </w:rPr>
      </w:pPr>
      <w:r w:rsidRPr="001505F1">
        <w:t xml:space="preserve">Atkinson, A. B., &amp; Bourguignon, F. (1995). </w:t>
      </w:r>
      <w:r w:rsidRPr="0075198D">
        <w:rPr>
          <w:lang w:val="en-US"/>
        </w:rPr>
        <w:t>Income distribution. Retrieved from https://www.mysciencework.com/publication/show/54338a56bdf319bd365a0154cb4f08fe</w:t>
      </w:r>
    </w:p>
    <w:p w14:paraId="4766A766" w14:textId="6B179C3D" w:rsidR="00DB486A" w:rsidRDefault="00DB486A" w:rsidP="001505F1">
      <w:pPr>
        <w:pStyle w:val="Bibliography"/>
        <w:jc w:val="both"/>
        <w:rPr>
          <w:lang w:val="en-US"/>
        </w:rPr>
      </w:pPr>
      <w:r>
        <w:rPr>
          <w:lang w:val="en-US"/>
        </w:rPr>
        <w:t>Atkinson, A. B. (2015). Inequality. What can be done? Cambridge, Harvard University Press.</w:t>
      </w:r>
    </w:p>
    <w:p w14:paraId="7A8CF89B" w14:textId="77777777" w:rsidR="002A0B19" w:rsidRPr="0075198D" w:rsidRDefault="002A0B19" w:rsidP="001505F1">
      <w:pPr>
        <w:pStyle w:val="Bibliography"/>
        <w:jc w:val="both"/>
        <w:rPr>
          <w:lang w:val="en-US"/>
        </w:rPr>
      </w:pPr>
      <w:r w:rsidRPr="0075198D">
        <w:rPr>
          <w:lang w:val="en-US"/>
        </w:rPr>
        <w:t xml:space="preserve">Chauvel, L. (2016). The intensity and shape of inequality: the ABG method of distributional analysis. </w:t>
      </w:r>
      <w:r w:rsidRPr="0075198D">
        <w:rPr>
          <w:i/>
          <w:iCs/>
          <w:lang w:val="en-US"/>
        </w:rPr>
        <w:t>Review of Income and Wealth</w:t>
      </w:r>
      <w:r w:rsidRPr="0075198D">
        <w:rPr>
          <w:lang w:val="en-US"/>
        </w:rPr>
        <w:t xml:space="preserve">, </w:t>
      </w:r>
      <w:r w:rsidRPr="0075198D">
        <w:rPr>
          <w:i/>
          <w:iCs/>
          <w:lang w:val="en-US"/>
        </w:rPr>
        <w:t>62</w:t>
      </w:r>
      <w:r w:rsidRPr="0075198D">
        <w:rPr>
          <w:lang w:val="en-US"/>
        </w:rPr>
        <w:t>(1), 52–68.</w:t>
      </w:r>
    </w:p>
    <w:p w14:paraId="0D2A5D9B" w14:textId="77777777" w:rsidR="002A0B19" w:rsidRPr="0075198D" w:rsidRDefault="002A0B19" w:rsidP="001505F1">
      <w:pPr>
        <w:pStyle w:val="Bibliography"/>
        <w:jc w:val="both"/>
        <w:rPr>
          <w:lang w:val="en-US"/>
        </w:rPr>
      </w:pPr>
      <w:r w:rsidRPr="0075198D">
        <w:rPr>
          <w:lang w:val="en-US"/>
        </w:rPr>
        <w:t xml:space="preserve">Chauvel, L., &amp; Bar-Haim, E. (2016). Varieties of Capitalism (VoC) and Varieties of Distributions (VoD): How Welfare Regimes Affect the Pre and Post Transfer Shapes of Inequalities? In </w:t>
      </w:r>
      <w:r w:rsidRPr="0075198D">
        <w:rPr>
          <w:i/>
          <w:iCs/>
          <w:lang w:val="en-US"/>
        </w:rPr>
        <w:t>28th Annual Meeting</w:t>
      </w:r>
      <w:r w:rsidRPr="0075198D">
        <w:rPr>
          <w:lang w:val="en-US"/>
        </w:rPr>
        <w:t>. Sase. Retrieved from http://www.lisdatacenter.org/wps/liswps/677.pdf</w:t>
      </w:r>
    </w:p>
    <w:p w14:paraId="2D55AA33" w14:textId="77777777" w:rsidR="002A0B19" w:rsidRPr="0075198D" w:rsidRDefault="002A0B19" w:rsidP="001505F1">
      <w:pPr>
        <w:pStyle w:val="Bibliography"/>
        <w:jc w:val="both"/>
        <w:rPr>
          <w:lang w:val="en-US"/>
        </w:rPr>
      </w:pPr>
      <w:r w:rsidRPr="0075198D">
        <w:rPr>
          <w:lang w:val="en-US"/>
        </w:rPr>
        <w:t xml:space="preserve">Chauvel, L., Bar-Haim, E., &amp; others. (2016). ISOGRAPH: Stata module to compute inequality over logit ranks of social hierarchy. </w:t>
      </w:r>
      <w:r w:rsidRPr="0075198D">
        <w:rPr>
          <w:i/>
          <w:iCs/>
          <w:lang w:val="en-US"/>
        </w:rPr>
        <w:t>Statistical Software Components</w:t>
      </w:r>
      <w:r w:rsidRPr="0075198D">
        <w:rPr>
          <w:lang w:val="en-US"/>
        </w:rPr>
        <w:t>. Retrieved from https://ideas.repec.org/c/boc/bocode/s458255.html</w:t>
      </w:r>
    </w:p>
    <w:p w14:paraId="4A6F246B" w14:textId="77777777" w:rsidR="002A0B19" w:rsidRPr="0075198D" w:rsidRDefault="002A0B19" w:rsidP="001505F1">
      <w:pPr>
        <w:pStyle w:val="Bibliography"/>
        <w:jc w:val="both"/>
        <w:rPr>
          <w:lang w:val="en-US"/>
        </w:rPr>
      </w:pPr>
      <w:r w:rsidRPr="0075198D">
        <w:rPr>
          <w:lang w:val="en-US"/>
        </w:rPr>
        <w:t xml:space="preserve">Chauvel, L., &amp; Hartung, A. (2016). Between welfare state retrenchments, globalization, and declining returns to credentials: The European middle class under stress. In </w:t>
      </w:r>
      <w:r w:rsidRPr="0075198D">
        <w:rPr>
          <w:i/>
          <w:iCs/>
          <w:lang w:val="en-US"/>
        </w:rPr>
        <w:t>2016 Conference Online Program</w:t>
      </w:r>
      <w:r w:rsidRPr="0075198D">
        <w:rPr>
          <w:lang w:val="en-US"/>
        </w:rPr>
        <w:t>. Retrieved from http://www.louischauvel.org/CES_2016b.docx</w:t>
      </w:r>
    </w:p>
    <w:p w14:paraId="24D4F810" w14:textId="77777777" w:rsidR="002A0B19" w:rsidRPr="0075198D" w:rsidRDefault="002A0B19" w:rsidP="001505F1">
      <w:pPr>
        <w:pStyle w:val="Bibliography"/>
        <w:jc w:val="both"/>
        <w:rPr>
          <w:lang w:val="en-US"/>
        </w:rPr>
      </w:pPr>
      <w:r w:rsidRPr="0075198D">
        <w:rPr>
          <w:lang w:val="en-US"/>
        </w:rPr>
        <w:t xml:space="preserve">Chetty, R. (2017). Social mobility in the United States depends heavily on where you live. </w:t>
      </w:r>
      <w:r w:rsidRPr="0075198D">
        <w:rPr>
          <w:i/>
          <w:iCs/>
          <w:lang w:val="en-US"/>
        </w:rPr>
        <w:t>USApp–American Politics and Policy Blog</w:t>
      </w:r>
      <w:r w:rsidRPr="0075198D">
        <w:rPr>
          <w:lang w:val="en-US"/>
        </w:rPr>
        <w:t>. Retrieved from http://eprints.lse.ac.uk/69353/</w:t>
      </w:r>
    </w:p>
    <w:p w14:paraId="193D3377" w14:textId="77777777" w:rsidR="002A0B19" w:rsidRPr="0075198D" w:rsidRDefault="002A0B19" w:rsidP="001505F1">
      <w:pPr>
        <w:pStyle w:val="Bibliography"/>
        <w:jc w:val="both"/>
        <w:rPr>
          <w:lang w:val="en-US"/>
        </w:rPr>
      </w:pPr>
      <w:r w:rsidRPr="0075198D">
        <w:rPr>
          <w:lang w:val="en-US"/>
        </w:rPr>
        <w:t xml:space="preserve">Corak, M. (2013). Income inequality, equality of opportunity, and intergenerational mobility. </w:t>
      </w:r>
      <w:r w:rsidRPr="0075198D">
        <w:rPr>
          <w:i/>
          <w:iCs/>
          <w:lang w:val="en-US"/>
        </w:rPr>
        <w:t>The Journal of Economic Perspectives</w:t>
      </w:r>
      <w:r w:rsidRPr="0075198D">
        <w:rPr>
          <w:lang w:val="en-US"/>
        </w:rPr>
        <w:t xml:space="preserve">, </w:t>
      </w:r>
      <w:r w:rsidRPr="0075198D">
        <w:rPr>
          <w:i/>
          <w:iCs/>
          <w:lang w:val="en-US"/>
        </w:rPr>
        <w:t>27</w:t>
      </w:r>
      <w:r w:rsidRPr="0075198D">
        <w:rPr>
          <w:lang w:val="en-US"/>
        </w:rPr>
        <w:t>(3), 79–102.</w:t>
      </w:r>
    </w:p>
    <w:p w14:paraId="5791474D" w14:textId="169C3A1E" w:rsidR="005D34F3" w:rsidRDefault="002A0B19" w:rsidP="001505F1">
      <w:pPr>
        <w:pStyle w:val="Bibliography"/>
        <w:jc w:val="both"/>
        <w:rPr>
          <w:lang w:val="en-US"/>
        </w:rPr>
      </w:pPr>
      <w:r w:rsidRPr="00370EA7">
        <w:rPr>
          <w:lang w:val="en-US"/>
        </w:rPr>
        <w:t>Cowell, F. A</w:t>
      </w:r>
      <w:r w:rsidR="005D34F3" w:rsidRPr="00370EA7">
        <w:rPr>
          <w:lang w:val="en-US"/>
        </w:rPr>
        <w:t>. and Flachaire, E. (2007) Income distribution and inequality measurement: The problem of extreme values, Journal of Econometrics, 105, 1044–1072.</w:t>
      </w:r>
    </w:p>
    <w:p w14:paraId="026E50E4" w14:textId="77777777" w:rsidR="00370EA7" w:rsidRPr="00370EA7" w:rsidRDefault="00370EA7" w:rsidP="001505F1">
      <w:pPr>
        <w:jc w:val="both"/>
        <w:rPr>
          <w:lang w:val="en-US"/>
        </w:rPr>
      </w:pPr>
    </w:p>
    <w:p w14:paraId="5BEC11CE" w14:textId="7B6926DE" w:rsidR="002A0B19" w:rsidRPr="0075198D" w:rsidRDefault="002A0B19" w:rsidP="001505F1">
      <w:pPr>
        <w:pStyle w:val="Bibliography"/>
        <w:jc w:val="both"/>
        <w:rPr>
          <w:lang w:val="en-US"/>
        </w:rPr>
      </w:pPr>
      <w:r w:rsidRPr="0075198D">
        <w:rPr>
          <w:lang w:val="en-US"/>
        </w:rPr>
        <w:t xml:space="preserve">Cowell, F. A., &amp; </w:t>
      </w:r>
      <w:r w:rsidR="00A206AA">
        <w:rPr>
          <w:lang w:val="en-US"/>
        </w:rPr>
        <w:t xml:space="preserve">Van </w:t>
      </w:r>
      <w:r w:rsidRPr="0075198D">
        <w:rPr>
          <w:lang w:val="en-US"/>
        </w:rPr>
        <w:t xml:space="preserve">Kerm, P. (2015). Wealth inequality: A survey. </w:t>
      </w:r>
      <w:r w:rsidRPr="0075198D">
        <w:rPr>
          <w:i/>
          <w:iCs/>
          <w:lang w:val="en-US"/>
        </w:rPr>
        <w:t>Journal of Economic Surveys</w:t>
      </w:r>
      <w:r w:rsidRPr="0075198D">
        <w:rPr>
          <w:lang w:val="en-US"/>
        </w:rPr>
        <w:t xml:space="preserve">, </w:t>
      </w:r>
      <w:r w:rsidRPr="0075198D">
        <w:rPr>
          <w:i/>
          <w:iCs/>
          <w:lang w:val="en-US"/>
        </w:rPr>
        <w:t>29</w:t>
      </w:r>
      <w:r w:rsidRPr="0075198D">
        <w:rPr>
          <w:lang w:val="en-US"/>
        </w:rPr>
        <w:t>(4), 671–710.</w:t>
      </w:r>
    </w:p>
    <w:p w14:paraId="1548B992" w14:textId="63A4702B" w:rsidR="00E10268" w:rsidRDefault="00E10268" w:rsidP="001505F1">
      <w:pPr>
        <w:pStyle w:val="Bibliography"/>
        <w:jc w:val="both"/>
        <w:rPr>
          <w:lang w:val="en-US"/>
        </w:rPr>
      </w:pPr>
      <w:r>
        <w:rPr>
          <w:lang w:val="en-US"/>
        </w:rPr>
        <w:t>Cowell,</w:t>
      </w:r>
      <w:r w:rsidRPr="00E10268">
        <w:rPr>
          <w:lang w:val="en-US"/>
        </w:rPr>
        <w:t xml:space="preserve"> </w:t>
      </w:r>
      <w:r w:rsidR="00A206AA">
        <w:rPr>
          <w:lang w:val="en-US"/>
        </w:rPr>
        <w:t>F.</w:t>
      </w:r>
      <w:r w:rsidRPr="00E10268">
        <w:rPr>
          <w:lang w:val="en-US"/>
        </w:rPr>
        <w:t xml:space="preserve">, </w:t>
      </w:r>
      <w:r>
        <w:rPr>
          <w:lang w:val="en-US"/>
        </w:rPr>
        <w:t>Nolan</w:t>
      </w:r>
      <w:r w:rsidRPr="00E10268">
        <w:rPr>
          <w:lang w:val="en-US"/>
        </w:rPr>
        <w:t xml:space="preserve"> </w:t>
      </w:r>
      <w:r w:rsidR="00A206AA">
        <w:rPr>
          <w:lang w:val="en-US"/>
        </w:rPr>
        <w:t>B.</w:t>
      </w:r>
      <w:r w:rsidRPr="00E10268">
        <w:rPr>
          <w:lang w:val="en-US"/>
        </w:rPr>
        <w:t xml:space="preserve">, </w:t>
      </w:r>
      <w:r>
        <w:rPr>
          <w:lang w:val="en-US"/>
        </w:rPr>
        <w:t>Olivera</w:t>
      </w:r>
      <w:r w:rsidRPr="00E10268">
        <w:rPr>
          <w:lang w:val="en-US"/>
        </w:rPr>
        <w:t xml:space="preserve"> </w:t>
      </w:r>
      <w:r w:rsidR="00A206AA">
        <w:rPr>
          <w:lang w:val="en-US"/>
        </w:rPr>
        <w:t>J.</w:t>
      </w:r>
      <w:r w:rsidRPr="00E10268">
        <w:rPr>
          <w:lang w:val="en-US"/>
        </w:rPr>
        <w:t xml:space="preserve">, </w:t>
      </w:r>
      <w:r w:rsidR="00A206AA">
        <w:rPr>
          <w:lang w:val="en-US"/>
        </w:rPr>
        <w:t>V</w:t>
      </w:r>
      <w:r>
        <w:rPr>
          <w:lang w:val="en-US"/>
        </w:rPr>
        <w:t>an</w:t>
      </w:r>
      <w:r w:rsidRPr="00E10268">
        <w:rPr>
          <w:lang w:val="en-US"/>
        </w:rPr>
        <w:t xml:space="preserve"> K</w:t>
      </w:r>
      <w:r>
        <w:rPr>
          <w:lang w:val="en-US"/>
        </w:rPr>
        <w:t>erm</w:t>
      </w:r>
      <w:r w:rsidRPr="00E10268">
        <w:rPr>
          <w:lang w:val="en-US"/>
        </w:rPr>
        <w:t xml:space="preserve"> </w:t>
      </w:r>
      <w:r w:rsidR="00A206AA">
        <w:rPr>
          <w:lang w:val="en-US"/>
        </w:rPr>
        <w:t>P</w:t>
      </w:r>
      <w:r w:rsidRPr="00E10268">
        <w:rPr>
          <w:lang w:val="en-US"/>
        </w:rPr>
        <w:t>.</w:t>
      </w:r>
      <w:r w:rsidR="00A206AA">
        <w:rPr>
          <w:lang w:val="en-US"/>
        </w:rPr>
        <w:t xml:space="preserve"> (2017).</w:t>
      </w:r>
      <w:r w:rsidRPr="00E10268">
        <w:rPr>
          <w:lang w:val="en-US"/>
        </w:rPr>
        <w:t xml:space="preserve"> Wealth, top incomes and inequality. In: Kirk Hamilton and Cameron Hepburn (Eds.) </w:t>
      </w:r>
      <w:r w:rsidRPr="00DD0D8A">
        <w:rPr>
          <w:i/>
          <w:lang w:val="en-US"/>
        </w:rPr>
        <w:t>National Wealth: What is missing, why it matters.</w:t>
      </w:r>
      <w:r w:rsidRPr="00E10268">
        <w:rPr>
          <w:lang w:val="en-US"/>
        </w:rPr>
        <w:t xml:space="preserve"> New York: Oxford Unive</w:t>
      </w:r>
      <w:r w:rsidR="00A206AA">
        <w:rPr>
          <w:lang w:val="en-US"/>
        </w:rPr>
        <w:t>rsity Press</w:t>
      </w:r>
      <w:r w:rsidRPr="00E10268">
        <w:rPr>
          <w:lang w:val="en-US"/>
        </w:rPr>
        <w:t>, pp. 175-206.</w:t>
      </w:r>
      <w:r w:rsidR="00711079">
        <w:rPr>
          <w:lang w:val="en-US"/>
        </w:rPr>
        <w:t xml:space="preserve"> Or: LWS WP 24, LIS Data Center, </w:t>
      </w:r>
      <w:hyperlink r:id="rId16" w:history="1">
        <w:r w:rsidR="00E23B0B" w:rsidRPr="00347801">
          <w:rPr>
            <w:rStyle w:val="Hyperlink"/>
            <w:lang w:val="en-US"/>
          </w:rPr>
          <w:t>http://www.lisdatacenter.org/wps/lwswps/24.pdf</w:t>
        </w:r>
      </w:hyperlink>
      <w:r w:rsidR="00711079">
        <w:rPr>
          <w:lang w:val="en-US"/>
        </w:rPr>
        <w:t xml:space="preserve"> </w:t>
      </w:r>
    </w:p>
    <w:p w14:paraId="1A8417EE" w14:textId="77777777" w:rsidR="002A0B19" w:rsidRPr="0075198D" w:rsidRDefault="002A0B19" w:rsidP="001505F1">
      <w:pPr>
        <w:pStyle w:val="Bibliography"/>
        <w:jc w:val="both"/>
        <w:rPr>
          <w:lang w:val="en-US"/>
        </w:rPr>
      </w:pPr>
      <w:r w:rsidRPr="0075198D">
        <w:rPr>
          <w:lang w:val="en-US"/>
        </w:rPr>
        <w:lastRenderedPageBreak/>
        <w:t xml:space="preserve">Dagum, C. (1977). New Model of Personal Income-Distribution-Specification and Estimation. </w:t>
      </w:r>
      <w:r w:rsidRPr="0075198D">
        <w:rPr>
          <w:i/>
          <w:iCs/>
          <w:lang w:val="en-US"/>
        </w:rPr>
        <w:t>Economie Appliquée</w:t>
      </w:r>
      <w:r w:rsidRPr="0075198D">
        <w:rPr>
          <w:lang w:val="en-US"/>
        </w:rPr>
        <w:t xml:space="preserve">, </w:t>
      </w:r>
      <w:r w:rsidRPr="0075198D">
        <w:rPr>
          <w:i/>
          <w:iCs/>
          <w:lang w:val="en-US"/>
        </w:rPr>
        <w:t>30</w:t>
      </w:r>
      <w:r w:rsidRPr="0075198D">
        <w:rPr>
          <w:lang w:val="en-US"/>
        </w:rPr>
        <w:t>(3), 413–437.</w:t>
      </w:r>
    </w:p>
    <w:p w14:paraId="5896B7D0" w14:textId="77777777" w:rsidR="002A0B19" w:rsidRPr="0075198D" w:rsidRDefault="002A0B19" w:rsidP="001505F1">
      <w:pPr>
        <w:pStyle w:val="Bibliography"/>
        <w:jc w:val="both"/>
        <w:rPr>
          <w:lang w:val="en-US"/>
        </w:rPr>
      </w:pPr>
      <w:r w:rsidRPr="0075198D">
        <w:rPr>
          <w:lang w:val="en-US"/>
        </w:rPr>
        <w:t xml:space="preserve">Dagum, C. (2006). Wealth distribution models: analisys and applications. </w:t>
      </w:r>
      <w:r w:rsidRPr="0075198D">
        <w:rPr>
          <w:i/>
          <w:iCs/>
          <w:lang w:val="en-US"/>
        </w:rPr>
        <w:t>Statistica</w:t>
      </w:r>
      <w:r w:rsidRPr="0075198D">
        <w:rPr>
          <w:lang w:val="en-US"/>
        </w:rPr>
        <w:t xml:space="preserve">, </w:t>
      </w:r>
      <w:r w:rsidRPr="0075198D">
        <w:rPr>
          <w:i/>
          <w:iCs/>
          <w:lang w:val="en-US"/>
        </w:rPr>
        <w:t>66</w:t>
      </w:r>
      <w:r w:rsidRPr="0075198D">
        <w:rPr>
          <w:lang w:val="en-US"/>
        </w:rPr>
        <w:t>(3), 235–268.</w:t>
      </w:r>
    </w:p>
    <w:p w14:paraId="291682CD" w14:textId="77777777" w:rsidR="002A0B19" w:rsidRPr="0075198D" w:rsidRDefault="002A0B19" w:rsidP="001505F1">
      <w:pPr>
        <w:pStyle w:val="Bibliography"/>
        <w:jc w:val="both"/>
        <w:rPr>
          <w:lang w:val="en-US"/>
        </w:rPr>
      </w:pPr>
      <w:r w:rsidRPr="0075198D">
        <w:rPr>
          <w:lang w:val="en-US"/>
        </w:rPr>
        <w:t xml:space="preserve">Díaz-Giménez, J., Quadrini, V., &amp; Ríos-Rull, J.-V. (1997). Dimensions of inequality: Facts on the US distributions of earnings, income, and wealth. </w:t>
      </w:r>
      <w:r w:rsidRPr="0075198D">
        <w:rPr>
          <w:i/>
          <w:iCs/>
          <w:lang w:val="en-US"/>
        </w:rPr>
        <w:t>Federal Reserve Bank of Minneapolis. Quarterly Review-Federal Reserve Bank of Minneapolis</w:t>
      </w:r>
      <w:r w:rsidRPr="0075198D">
        <w:rPr>
          <w:lang w:val="en-US"/>
        </w:rPr>
        <w:t xml:space="preserve">, </w:t>
      </w:r>
      <w:r w:rsidRPr="0075198D">
        <w:rPr>
          <w:i/>
          <w:iCs/>
          <w:lang w:val="en-US"/>
        </w:rPr>
        <w:t>21</w:t>
      </w:r>
      <w:r w:rsidRPr="0075198D">
        <w:rPr>
          <w:lang w:val="en-US"/>
        </w:rPr>
        <w:t>(2), 3.</w:t>
      </w:r>
    </w:p>
    <w:p w14:paraId="5FA4BCF3" w14:textId="62A08E64" w:rsidR="002A0B19" w:rsidRPr="0075198D" w:rsidRDefault="002A0B19" w:rsidP="001505F1">
      <w:pPr>
        <w:pStyle w:val="Bibliography"/>
        <w:jc w:val="both"/>
        <w:rPr>
          <w:lang w:val="en-US"/>
        </w:rPr>
      </w:pPr>
      <w:r w:rsidRPr="0075198D">
        <w:rPr>
          <w:lang w:val="en-US"/>
        </w:rPr>
        <w:t xml:space="preserve">Fisher, J., Johnson, D., Latner, J. P., Smeeding, T., &amp; Thompson, J. (2016). Inequality and Mobility Using Income, Consumption, and Wealth for the Same Individuals. </w:t>
      </w:r>
      <w:r w:rsidRPr="0075198D">
        <w:rPr>
          <w:i/>
          <w:iCs/>
          <w:lang w:val="en-US"/>
        </w:rPr>
        <w:t>RSF</w:t>
      </w:r>
      <w:r w:rsidRPr="0075198D">
        <w:rPr>
          <w:lang w:val="en-US"/>
        </w:rPr>
        <w:t xml:space="preserve">. Retrieved from </w:t>
      </w:r>
      <w:hyperlink r:id="rId17" w:history="1">
        <w:r w:rsidR="00503CC1" w:rsidRPr="007662E8">
          <w:rPr>
            <w:rStyle w:val="Hyperlink"/>
            <w:lang w:val="en-US"/>
          </w:rPr>
          <w:t>http://www.rsfjournal.org/doi/abs/10.7758/RSF.2016.2.6.03</w:t>
        </w:r>
      </w:hyperlink>
      <w:r w:rsidR="00503CC1">
        <w:rPr>
          <w:lang w:val="en-US"/>
        </w:rPr>
        <w:t xml:space="preserve"> </w:t>
      </w:r>
    </w:p>
    <w:p w14:paraId="05B0678F" w14:textId="47F1753E" w:rsidR="00503CC1" w:rsidRDefault="00503CC1" w:rsidP="001505F1">
      <w:pPr>
        <w:pStyle w:val="Bibliography"/>
        <w:jc w:val="both"/>
        <w:rPr>
          <w:lang w:val="en-US"/>
        </w:rPr>
      </w:pPr>
      <w:r w:rsidRPr="00503CC1">
        <w:rPr>
          <w:lang w:val="en-US"/>
        </w:rPr>
        <w:t>Fligstein</w:t>
      </w:r>
      <w:r>
        <w:rPr>
          <w:lang w:val="en-US"/>
        </w:rPr>
        <w:t>, N.</w:t>
      </w:r>
      <w:r w:rsidRPr="00503CC1">
        <w:rPr>
          <w:lang w:val="en-US"/>
        </w:rPr>
        <w:t xml:space="preserve"> and Rucks-Ahidiana</w:t>
      </w:r>
      <w:r>
        <w:rPr>
          <w:lang w:val="en-US"/>
        </w:rPr>
        <w:t>, Z.</w:t>
      </w:r>
      <w:r w:rsidRPr="00503CC1">
        <w:rPr>
          <w:lang w:val="en-US"/>
        </w:rPr>
        <w:t xml:space="preserve"> (2015). “The Rich Got Richer: The Effects of the Financial Crisis on Household Well-Being, 2007-2009”. IRLE Working Paper No. 121-15. </w:t>
      </w:r>
      <w:hyperlink r:id="rId18" w:history="1">
        <w:r w:rsidR="00AF1BA6" w:rsidRPr="007662E8">
          <w:rPr>
            <w:rStyle w:val="Hyperlink"/>
            <w:lang w:val="en-US"/>
          </w:rPr>
          <w:t>http://irle.berkeley.edu/workingpapers/121-15.pdf</w:t>
        </w:r>
      </w:hyperlink>
      <w:r w:rsidR="00AF1BA6">
        <w:rPr>
          <w:lang w:val="en-US"/>
        </w:rPr>
        <w:t xml:space="preserve"> </w:t>
      </w:r>
    </w:p>
    <w:p w14:paraId="4DF1A53F" w14:textId="44838C76" w:rsidR="002A0B19" w:rsidRPr="0075198D" w:rsidRDefault="002A0B19" w:rsidP="001505F1">
      <w:pPr>
        <w:pStyle w:val="Bibliography"/>
        <w:jc w:val="both"/>
        <w:rPr>
          <w:lang w:val="en-US"/>
        </w:rPr>
      </w:pPr>
      <w:r w:rsidRPr="0075198D">
        <w:rPr>
          <w:lang w:val="en-US"/>
        </w:rPr>
        <w:t xml:space="preserve">Gabaix, X. (1999). Zipf’s law for cities: an explanation. </w:t>
      </w:r>
      <w:r w:rsidRPr="0075198D">
        <w:rPr>
          <w:i/>
          <w:iCs/>
          <w:lang w:val="en-US"/>
        </w:rPr>
        <w:t>The Quarterly Journal of Economics</w:t>
      </w:r>
      <w:r w:rsidRPr="0075198D">
        <w:rPr>
          <w:lang w:val="en-US"/>
        </w:rPr>
        <w:t xml:space="preserve">, </w:t>
      </w:r>
      <w:r w:rsidRPr="0075198D">
        <w:rPr>
          <w:i/>
          <w:iCs/>
          <w:lang w:val="en-US"/>
        </w:rPr>
        <w:t>114</w:t>
      </w:r>
      <w:r w:rsidRPr="0075198D">
        <w:rPr>
          <w:lang w:val="en-US"/>
        </w:rPr>
        <w:t>(3), 739–767.</w:t>
      </w:r>
    </w:p>
    <w:p w14:paraId="4A5D3C1A" w14:textId="77777777" w:rsidR="002A0B19" w:rsidRPr="0075198D" w:rsidRDefault="002A0B19" w:rsidP="001505F1">
      <w:pPr>
        <w:pStyle w:val="Bibliography"/>
        <w:jc w:val="both"/>
        <w:rPr>
          <w:lang w:val="en-US"/>
        </w:rPr>
      </w:pPr>
      <w:r w:rsidRPr="0075198D">
        <w:rPr>
          <w:lang w:val="en-US"/>
        </w:rPr>
        <w:t xml:space="preserve">Gabaix, X. (2009). Power laws in economics and finance. </w:t>
      </w:r>
      <w:r w:rsidRPr="0075198D">
        <w:rPr>
          <w:i/>
          <w:iCs/>
          <w:lang w:val="en-US"/>
        </w:rPr>
        <w:t>Annu. Rev. Econ.</w:t>
      </w:r>
      <w:r w:rsidRPr="0075198D">
        <w:rPr>
          <w:lang w:val="en-US"/>
        </w:rPr>
        <w:t xml:space="preserve">, </w:t>
      </w:r>
      <w:r w:rsidRPr="0075198D">
        <w:rPr>
          <w:i/>
          <w:iCs/>
          <w:lang w:val="en-US"/>
        </w:rPr>
        <w:t>1</w:t>
      </w:r>
      <w:r w:rsidRPr="0075198D">
        <w:rPr>
          <w:lang w:val="en-US"/>
        </w:rPr>
        <w:t>(1), 255–294.</w:t>
      </w:r>
    </w:p>
    <w:p w14:paraId="0EA4C4A2" w14:textId="77777777" w:rsidR="00CE32F5" w:rsidRDefault="002A0B19" w:rsidP="001505F1">
      <w:pPr>
        <w:pStyle w:val="Bibliography"/>
        <w:jc w:val="both"/>
        <w:rPr>
          <w:lang w:val="en-US"/>
        </w:rPr>
      </w:pPr>
      <w:r w:rsidRPr="0075198D">
        <w:rPr>
          <w:lang w:val="en-US"/>
        </w:rPr>
        <w:t xml:space="preserve">Jantti, M., Sierminska, E., &amp; Smeeding, T. (2008). The joint distribution of household income and wealth: Evidence from the Luxembourg Wealth Study. Retrieved from </w:t>
      </w:r>
      <w:hyperlink r:id="rId19" w:history="1">
        <w:r w:rsidR="00CE32F5" w:rsidRPr="00676880">
          <w:rPr>
            <w:rStyle w:val="Hyperlink"/>
            <w:lang w:val="en-US"/>
          </w:rPr>
          <w:t>https://www.mysciencework.com/publication/show/f2bf5049a19312902934c84321079932</w:t>
        </w:r>
      </w:hyperlink>
      <w:r w:rsidR="00CE32F5">
        <w:rPr>
          <w:lang w:val="en-US"/>
        </w:rPr>
        <w:t xml:space="preserve"> </w:t>
      </w:r>
    </w:p>
    <w:p w14:paraId="2A7CB231" w14:textId="77777777" w:rsidR="00CE32F5" w:rsidRDefault="00CE32F5" w:rsidP="001505F1">
      <w:pPr>
        <w:pStyle w:val="Bibliography"/>
        <w:jc w:val="both"/>
        <w:rPr>
          <w:lang w:val="en-US"/>
        </w:rPr>
      </w:pPr>
      <w:r w:rsidRPr="00CE32F5">
        <w:rPr>
          <w:lang w:val="en-US"/>
        </w:rPr>
        <w:t>Jäntti, M., Sierminska, E.M. &amp; Van Kerm, P. (2013), 'The joint distribution of income and wealth', in J. Gornick &amp; M. Jäntti, Economic Inequality in Cross-National Perspective, Social Inequality Series, Stanford University Press, USA.</w:t>
      </w:r>
    </w:p>
    <w:p w14:paraId="19A9404B" w14:textId="32DB84A6" w:rsidR="00CE32F5" w:rsidRPr="00226E94" w:rsidRDefault="00CE32F5" w:rsidP="001505F1">
      <w:pPr>
        <w:pStyle w:val="Bibliography"/>
        <w:jc w:val="both"/>
        <w:rPr>
          <w:lang w:val="en-US"/>
        </w:rPr>
      </w:pPr>
      <w:r w:rsidRPr="00CE32F5">
        <w:rPr>
          <w:lang w:val="en-US"/>
        </w:rPr>
        <w:t>Jäntti, M., Sierminska, E.M. &amp; Van Kerm, P. (2015), 'Modeling the Joint Distribution of Income and Wealth', in T. Garner &amp; K. Short, Measurement of Poverty, Deprivation, and Economic Mobility, Research on Economic Inequality 23, Emerald Group Publishing Limited, pp. 301-327.</w:t>
      </w:r>
    </w:p>
    <w:p w14:paraId="6746D55D" w14:textId="5AFFC161" w:rsidR="002A0B19" w:rsidRPr="0075198D" w:rsidRDefault="002A0B19" w:rsidP="001505F1">
      <w:pPr>
        <w:pStyle w:val="Bibliography"/>
        <w:jc w:val="both"/>
        <w:rPr>
          <w:lang w:val="en-US"/>
        </w:rPr>
      </w:pPr>
      <w:r w:rsidRPr="0075198D">
        <w:rPr>
          <w:lang w:val="en-US"/>
        </w:rPr>
        <w:t xml:space="preserve">Jencks, C., </w:t>
      </w:r>
      <w:r w:rsidR="005D34F3">
        <w:rPr>
          <w:lang w:val="en-US"/>
        </w:rPr>
        <w:t>et al</w:t>
      </w:r>
      <w:r w:rsidRPr="0075198D">
        <w:rPr>
          <w:lang w:val="en-US"/>
        </w:rPr>
        <w:t>. (1972). Inequality: A reassessment of the effect of family and schooling in America. Retrieved from http://eric.ed.gov/?id=ED077551</w:t>
      </w:r>
    </w:p>
    <w:p w14:paraId="23744766" w14:textId="77777777" w:rsidR="002A0B19" w:rsidRPr="0075198D" w:rsidRDefault="002A0B19" w:rsidP="001505F1">
      <w:pPr>
        <w:pStyle w:val="Bibliography"/>
        <w:jc w:val="both"/>
        <w:rPr>
          <w:lang w:val="en-US"/>
        </w:rPr>
      </w:pPr>
      <w:r w:rsidRPr="0075198D">
        <w:rPr>
          <w:lang w:val="en-US"/>
        </w:rPr>
        <w:t xml:space="preserve">Jenkins, S. P. (2009). Distributionally-Sensitive Inequality Indices and The Gb2 Income Distribution. </w:t>
      </w:r>
      <w:r w:rsidRPr="0075198D">
        <w:rPr>
          <w:i/>
          <w:iCs/>
          <w:lang w:val="en-US"/>
        </w:rPr>
        <w:t>Review of Income and Wealth</w:t>
      </w:r>
      <w:r w:rsidRPr="0075198D">
        <w:rPr>
          <w:lang w:val="en-US"/>
        </w:rPr>
        <w:t xml:space="preserve">, </w:t>
      </w:r>
      <w:r w:rsidRPr="0075198D">
        <w:rPr>
          <w:i/>
          <w:iCs/>
          <w:lang w:val="en-US"/>
        </w:rPr>
        <w:t>55</w:t>
      </w:r>
      <w:r w:rsidRPr="0075198D">
        <w:rPr>
          <w:lang w:val="en-US"/>
        </w:rPr>
        <w:t>(2), 392–398.</w:t>
      </w:r>
    </w:p>
    <w:p w14:paraId="3EE3DC23" w14:textId="77777777" w:rsidR="002A0B19" w:rsidRPr="0075198D" w:rsidRDefault="002A0B19" w:rsidP="001505F1">
      <w:pPr>
        <w:pStyle w:val="Bibliography"/>
        <w:jc w:val="both"/>
        <w:rPr>
          <w:lang w:val="en-US"/>
        </w:rPr>
      </w:pPr>
      <w:r w:rsidRPr="0075198D">
        <w:rPr>
          <w:lang w:val="en-US"/>
        </w:rPr>
        <w:t xml:space="preserve">Jerrim, J., &amp; Macmillan, L. (2015). Income inequality, intergenerational mobility, and the Great Gatsby Curve: is education the key? </w:t>
      </w:r>
      <w:r w:rsidRPr="0075198D">
        <w:rPr>
          <w:i/>
          <w:iCs/>
          <w:lang w:val="en-US"/>
        </w:rPr>
        <w:t>Social Forces</w:t>
      </w:r>
      <w:r w:rsidRPr="0075198D">
        <w:rPr>
          <w:lang w:val="en-US"/>
        </w:rPr>
        <w:t xml:space="preserve">, </w:t>
      </w:r>
      <w:r w:rsidRPr="0075198D">
        <w:rPr>
          <w:i/>
          <w:iCs/>
          <w:lang w:val="en-US"/>
        </w:rPr>
        <w:t>94</w:t>
      </w:r>
      <w:r w:rsidRPr="0075198D">
        <w:rPr>
          <w:lang w:val="en-US"/>
        </w:rPr>
        <w:t>(2), 505–533.</w:t>
      </w:r>
    </w:p>
    <w:p w14:paraId="4680FA83" w14:textId="77777777" w:rsidR="002A0B19" w:rsidRPr="0075198D" w:rsidRDefault="002A0B19" w:rsidP="001505F1">
      <w:pPr>
        <w:pStyle w:val="Bibliography"/>
        <w:jc w:val="both"/>
        <w:rPr>
          <w:lang w:val="en-US"/>
        </w:rPr>
      </w:pPr>
      <w:r w:rsidRPr="0075198D">
        <w:rPr>
          <w:lang w:val="en-US"/>
        </w:rPr>
        <w:lastRenderedPageBreak/>
        <w:t xml:space="preserve">Kennickell, A. B., Curtin, M. (particularly R., Heeringa, S., Juster, T., &amp; Nordess, D. (2000). </w:t>
      </w:r>
      <w:r w:rsidRPr="0075198D">
        <w:rPr>
          <w:i/>
          <w:iCs/>
          <w:lang w:val="en-US"/>
        </w:rPr>
        <w:t>Wealth Measurement in the Survey of Consumer Finances: Methodology and Directions for Future Research</w:t>
      </w:r>
      <w:r w:rsidRPr="0075198D">
        <w:rPr>
          <w:lang w:val="en-US"/>
        </w:rPr>
        <w:t>.</w:t>
      </w:r>
    </w:p>
    <w:p w14:paraId="5D175E96" w14:textId="77777777" w:rsidR="002A0B19" w:rsidRPr="0075198D" w:rsidRDefault="002A0B19" w:rsidP="001505F1">
      <w:pPr>
        <w:pStyle w:val="Bibliography"/>
        <w:jc w:val="both"/>
        <w:rPr>
          <w:lang w:val="en-US"/>
        </w:rPr>
      </w:pPr>
      <w:r w:rsidRPr="0075198D">
        <w:rPr>
          <w:lang w:val="en-US"/>
        </w:rPr>
        <w:t xml:space="preserve">Kennickell, A. B. (2009). </w:t>
      </w:r>
      <w:r w:rsidRPr="0075198D">
        <w:rPr>
          <w:i/>
          <w:iCs/>
          <w:lang w:val="en-US"/>
        </w:rPr>
        <w:t>Ponds and Streams: Wealth and Income in the US, 1989 to 2007</w:t>
      </w:r>
      <w:r w:rsidRPr="0075198D">
        <w:rPr>
          <w:lang w:val="en-US"/>
        </w:rPr>
        <w:t>. Divisions of Research &amp; Statistics and Monetary Affairs, Federal Reserve Board. Retrieved from https://www.federalreserve.gov/Pubs/Feds/2009/200913/200913pap.pdf</w:t>
      </w:r>
    </w:p>
    <w:p w14:paraId="64948904" w14:textId="77777777" w:rsidR="002A0B19" w:rsidRPr="0075198D" w:rsidRDefault="002A0B19" w:rsidP="001505F1">
      <w:pPr>
        <w:pStyle w:val="Bibliography"/>
        <w:jc w:val="both"/>
        <w:rPr>
          <w:lang w:val="en-US"/>
        </w:rPr>
      </w:pPr>
      <w:r w:rsidRPr="0075198D">
        <w:rPr>
          <w:lang w:val="en-US"/>
        </w:rPr>
        <w:t xml:space="preserve">Killewald, A., Pfeffer, F. T., &amp; Schachner, J. N. (2017). Wealth Inequality and Accumulation. </w:t>
      </w:r>
      <w:r w:rsidRPr="0075198D">
        <w:rPr>
          <w:i/>
          <w:iCs/>
          <w:lang w:val="en-US"/>
        </w:rPr>
        <w:t>Annual Review of Sociology</w:t>
      </w:r>
      <w:r w:rsidRPr="0075198D">
        <w:rPr>
          <w:lang w:val="en-US"/>
        </w:rPr>
        <w:t xml:space="preserve">, </w:t>
      </w:r>
      <w:r w:rsidRPr="0075198D">
        <w:rPr>
          <w:i/>
          <w:iCs/>
          <w:lang w:val="en-US"/>
        </w:rPr>
        <w:t>43</w:t>
      </w:r>
      <w:r w:rsidRPr="0075198D">
        <w:rPr>
          <w:lang w:val="en-US"/>
        </w:rPr>
        <w:t>(1). Retrieved from http://fabianpfeffer.com/wp-content/uploads/KillewaldPfefferSchachner2016.pdf</w:t>
      </w:r>
    </w:p>
    <w:p w14:paraId="31594734" w14:textId="77777777" w:rsidR="002A0B19" w:rsidRPr="0075198D" w:rsidRDefault="002A0B19" w:rsidP="001505F1">
      <w:pPr>
        <w:pStyle w:val="Bibliography"/>
        <w:jc w:val="both"/>
        <w:rPr>
          <w:lang w:val="en-US"/>
        </w:rPr>
      </w:pPr>
      <w:r w:rsidRPr="0075198D">
        <w:rPr>
          <w:lang w:val="en-US"/>
        </w:rPr>
        <w:t xml:space="preserve">Kristal, T., &amp; Cohen, Y. (2016). The causes of rising wage inequality: the race between institutions and technology. </w:t>
      </w:r>
      <w:r w:rsidRPr="0075198D">
        <w:rPr>
          <w:i/>
          <w:iCs/>
          <w:lang w:val="en-US"/>
        </w:rPr>
        <w:t>Socio-Economic Review</w:t>
      </w:r>
      <w:r w:rsidRPr="0075198D">
        <w:rPr>
          <w:lang w:val="en-US"/>
        </w:rPr>
        <w:t>, mww006.</w:t>
      </w:r>
    </w:p>
    <w:p w14:paraId="490D6D2F" w14:textId="049F0386" w:rsidR="002A0B19" w:rsidRPr="0075198D" w:rsidRDefault="002A0B19" w:rsidP="001505F1">
      <w:pPr>
        <w:pStyle w:val="Bibliography"/>
        <w:jc w:val="both"/>
        <w:rPr>
          <w:lang w:val="en-US"/>
        </w:rPr>
      </w:pPr>
      <w:r w:rsidRPr="0075198D">
        <w:rPr>
          <w:lang w:val="en-US"/>
        </w:rPr>
        <w:t xml:space="preserve">Looney, A., &amp; Moore, K. B. (2016). Changes in the Distribution of After-Tax Wealth in the US: Has Income Tax Policy Increased Wealth Inequality? </w:t>
      </w:r>
      <w:r w:rsidRPr="0075198D">
        <w:rPr>
          <w:i/>
          <w:iCs/>
          <w:lang w:val="en-US"/>
        </w:rPr>
        <w:t>Fiscal Studies</w:t>
      </w:r>
      <w:r w:rsidRPr="0075198D">
        <w:rPr>
          <w:lang w:val="en-US"/>
        </w:rPr>
        <w:t xml:space="preserve">, </w:t>
      </w:r>
      <w:r w:rsidRPr="0075198D">
        <w:rPr>
          <w:i/>
          <w:iCs/>
          <w:lang w:val="en-US"/>
        </w:rPr>
        <w:t>37</w:t>
      </w:r>
      <w:r w:rsidRPr="0075198D">
        <w:rPr>
          <w:lang w:val="en-US"/>
        </w:rPr>
        <w:t xml:space="preserve">(1), 77–104. </w:t>
      </w:r>
      <w:hyperlink r:id="rId20" w:history="1">
        <w:r w:rsidR="00AF1BA6" w:rsidRPr="007662E8">
          <w:rPr>
            <w:rStyle w:val="Hyperlink"/>
            <w:lang w:val="en-US"/>
          </w:rPr>
          <w:t>https://doi.org/10.1111/j.1475-5890.2016.12089</w:t>
        </w:r>
      </w:hyperlink>
      <w:r w:rsidR="00AF1BA6">
        <w:rPr>
          <w:lang w:val="en-US"/>
        </w:rPr>
        <w:t xml:space="preserve"> </w:t>
      </w:r>
    </w:p>
    <w:p w14:paraId="184B613B" w14:textId="2ECF32CB" w:rsidR="00AF1BA6" w:rsidRDefault="00AF1BA6" w:rsidP="001505F1">
      <w:pPr>
        <w:pStyle w:val="Bibliography"/>
        <w:jc w:val="both"/>
        <w:rPr>
          <w:lang w:val="en-US"/>
        </w:rPr>
      </w:pPr>
      <w:r w:rsidRPr="00AF1BA6">
        <w:rPr>
          <w:lang w:val="en-US"/>
        </w:rPr>
        <w:t xml:space="preserve">Luxembourg </w:t>
      </w:r>
      <w:r>
        <w:rPr>
          <w:lang w:val="en-US"/>
        </w:rPr>
        <w:t>Wealth</w:t>
      </w:r>
      <w:r w:rsidRPr="00AF1BA6">
        <w:rPr>
          <w:lang w:val="en-US"/>
        </w:rPr>
        <w:t xml:space="preserve"> Study (L</w:t>
      </w:r>
      <w:r>
        <w:rPr>
          <w:lang w:val="en-US"/>
        </w:rPr>
        <w:t>W</w:t>
      </w:r>
      <w:r w:rsidRPr="00AF1BA6">
        <w:rPr>
          <w:lang w:val="en-US"/>
        </w:rPr>
        <w:t>S) Database, http://www.lisdatacenter.org (</w:t>
      </w:r>
      <w:r>
        <w:rPr>
          <w:lang w:val="en-US"/>
        </w:rPr>
        <w:t>US, 1995-2016</w:t>
      </w:r>
      <w:r w:rsidRPr="00AF1BA6">
        <w:rPr>
          <w:lang w:val="en-US"/>
        </w:rPr>
        <w:t>). Luxembourg: LIS.</w:t>
      </w:r>
    </w:p>
    <w:p w14:paraId="23226F01" w14:textId="6356E992" w:rsidR="002A0B19" w:rsidRPr="003109B9" w:rsidRDefault="002A0B19" w:rsidP="001505F1">
      <w:pPr>
        <w:pStyle w:val="Bibliography"/>
        <w:jc w:val="both"/>
        <w:rPr>
          <w:lang w:val="en-US"/>
        </w:rPr>
      </w:pPr>
      <w:r w:rsidRPr="0075198D">
        <w:rPr>
          <w:lang w:val="en-US"/>
        </w:rPr>
        <w:t xml:space="preserve">Pareto, V. (1897). Political economy courses. </w:t>
      </w:r>
      <w:r w:rsidRPr="003109B9">
        <w:rPr>
          <w:i/>
          <w:iCs/>
          <w:lang w:val="en-US"/>
        </w:rPr>
        <w:t>Rouge, Lausanne, France</w:t>
      </w:r>
      <w:r w:rsidRPr="003109B9">
        <w:rPr>
          <w:lang w:val="en-US"/>
        </w:rPr>
        <w:t>.</w:t>
      </w:r>
    </w:p>
    <w:p w14:paraId="7B09456A" w14:textId="77777777" w:rsidR="002A0B19" w:rsidRPr="0075198D" w:rsidRDefault="002A0B19" w:rsidP="001505F1">
      <w:pPr>
        <w:pStyle w:val="Bibliography"/>
        <w:jc w:val="both"/>
        <w:rPr>
          <w:lang w:val="en-US"/>
        </w:rPr>
      </w:pPr>
      <w:r w:rsidRPr="003109B9">
        <w:rPr>
          <w:lang w:val="en-US"/>
        </w:rPr>
        <w:t xml:space="preserve">Pareto, V. (1896). </w:t>
      </w:r>
      <w:r w:rsidRPr="0075198D">
        <w:rPr>
          <w:i/>
          <w:iCs/>
          <w:lang w:val="en-US"/>
        </w:rPr>
        <w:t>Course of Political Economy</w:t>
      </w:r>
      <w:r w:rsidRPr="0075198D">
        <w:rPr>
          <w:lang w:val="en-US"/>
        </w:rPr>
        <w:t>. Lausanne.</w:t>
      </w:r>
    </w:p>
    <w:p w14:paraId="2DB8DB5C" w14:textId="77777777" w:rsidR="002A0B19" w:rsidRPr="0075198D" w:rsidRDefault="002A0B19" w:rsidP="001505F1">
      <w:pPr>
        <w:pStyle w:val="Bibliography"/>
        <w:jc w:val="both"/>
        <w:rPr>
          <w:lang w:val="en-US"/>
        </w:rPr>
      </w:pPr>
      <w:r w:rsidRPr="0075198D">
        <w:rPr>
          <w:lang w:val="en-US"/>
        </w:rPr>
        <w:t xml:space="preserve">Piketty, T. (2014). </w:t>
      </w:r>
      <w:r w:rsidRPr="0075198D">
        <w:rPr>
          <w:i/>
          <w:iCs/>
          <w:lang w:val="en-US"/>
        </w:rPr>
        <w:t>Capital in the Twenty First Century</w:t>
      </w:r>
      <w:r w:rsidRPr="0075198D">
        <w:rPr>
          <w:lang w:val="en-US"/>
        </w:rPr>
        <w:t>. (A. Goldhammer, Trans.). Cambridge, Mass. u.a.: Belknap Press: An Imprint of Harvard University Press.</w:t>
      </w:r>
    </w:p>
    <w:p w14:paraId="27C428F9" w14:textId="77777777" w:rsidR="002A0B19" w:rsidRPr="0075198D" w:rsidRDefault="002A0B19" w:rsidP="001505F1">
      <w:pPr>
        <w:pStyle w:val="Bibliography"/>
        <w:jc w:val="both"/>
        <w:rPr>
          <w:lang w:val="en-US"/>
        </w:rPr>
      </w:pPr>
      <w:r w:rsidRPr="00243A0B">
        <w:rPr>
          <w:lang w:val="de-DE"/>
        </w:rPr>
        <w:t xml:space="preserve">Pisati, M., Schizzerotto, A., &amp; Breen, R. (2004). </w:t>
      </w:r>
      <w:r w:rsidRPr="0075198D">
        <w:rPr>
          <w:lang w:val="en-US"/>
        </w:rPr>
        <w:t xml:space="preserve">The Italian mobility regime: 1985-97. </w:t>
      </w:r>
      <w:r w:rsidRPr="0075198D">
        <w:rPr>
          <w:i/>
          <w:iCs/>
          <w:lang w:val="en-US"/>
        </w:rPr>
        <w:t>Social Mobility in Europe</w:t>
      </w:r>
      <w:r w:rsidRPr="0075198D">
        <w:rPr>
          <w:lang w:val="en-US"/>
        </w:rPr>
        <w:t>.</w:t>
      </w:r>
    </w:p>
    <w:p w14:paraId="2B64960D" w14:textId="77777777" w:rsidR="002A0B19" w:rsidRPr="0075198D" w:rsidRDefault="002A0B19" w:rsidP="001505F1">
      <w:pPr>
        <w:pStyle w:val="Bibliography"/>
        <w:jc w:val="both"/>
        <w:rPr>
          <w:lang w:val="en-US"/>
        </w:rPr>
      </w:pPr>
      <w:r w:rsidRPr="0075198D">
        <w:rPr>
          <w:lang w:val="en-US"/>
        </w:rPr>
        <w:t>Ponomarenko, V. (2017). Wealth accumulation over the life course. The role of disadvantages across the employment history. Retrieved from https://orbilu.uni.lu/handle/10993/29219</w:t>
      </w:r>
    </w:p>
    <w:p w14:paraId="4CDD3009" w14:textId="77777777" w:rsidR="002A0B19" w:rsidRPr="0075198D" w:rsidRDefault="002A0B19" w:rsidP="001505F1">
      <w:pPr>
        <w:pStyle w:val="Bibliography"/>
        <w:jc w:val="both"/>
        <w:rPr>
          <w:lang w:val="en-US"/>
        </w:rPr>
      </w:pPr>
      <w:r w:rsidRPr="0075198D">
        <w:rPr>
          <w:lang w:val="en-US"/>
        </w:rPr>
        <w:t xml:space="preserve">Saez, E., &amp; Zucman, G. (2016). Wealth inequality in the United States since 1913: Evidence from capitalized income tax data. </w:t>
      </w:r>
      <w:r w:rsidRPr="0075198D">
        <w:rPr>
          <w:i/>
          <w:iCs/>
          <w:lang w:val="en-US"/>
        </w:rPr>
        <w:t>The Quarterly Journal of Economics</w:t>
      </w:r>
      <w:r w:rsidRPr="0075198D">
        <w:rPr>
          <w:lang w:val="en-US"/>
        </w:rPr>
        <w:t xml:space="preserve">, </w:t>
      </w:r>
      <w:r w:rsidRPr="0075198D">
        <w:rPr>
          <w:i/>
          <w:iCs/>
          <w:lang w:val="en-US"/>
        </w:rPr>
        <w:t>131</w:t>
      </w:r>
      <w:r w:rsidRPr="0075198D">
        <w:rPr>
          <w:lang w:val="en-US"/>
        </w:rPr>
        <w:t>(2), 519–578.</w:t>
      </w:r>
    </w:p>
    <w:p w14:paraId="5C88B5C4" w14:textId="77777777" w:rsidR="002A0B19" w:rsidRDefault="002A0B19" w:rsidP="001505F1">
      <w:pPr>
        <w:pStyle w:val="Bibliography"/>
        <w:jc w:val="both"/>
        <w:rPr>
          <w:lang w:val="en-US"/>
        </w:rPr>
      </w:pPr>
      <w:r w:rsidRPr="0075198D">
        <w:rPr>
          <w:lang w:val="en-US"/>
        </w:rPr>
        <w:t xml:space="preserve">Semyonov, M., &amp; Lewin-Epstein, N. (2013). Ways to richness: Determination of household wealth in 16 countries. </w:t>
      </w:r>
      <w:r w:rsidRPr="0075198D">
        <w:rPr>
          <w:i/>
          <w:iCs/>
          <w:lang w:val="en-US"/>
        </w:rPr>
        <w:t>European Sociological Review</w:t>
      </w:r>
      <w:r w:rsidRPr="0075198D">
        <w:rPr>
          <w:lang w:val="en-US"/>
        </w:rPr>
        <w:t xml:space="preserve">, </w:t>
      </w:r>
      <w:r w:rsidRPr="0075198D">
        <w:rPr>
          <w:i/>
          <w:iCs/>
          <w:lang w:val="en-US"/>
        </w:rPr>
        <w:t>29</w:t>
      </w:r>
      <w:r w:rsidRPr="0075198D">
        <w:rPr>
          <w:lang w:val="en-US"/>
        </w:rPr>
        <w:t>(6), 1134–1148.</w:t>
      </w:r>
    </w:p>
    <w:p w14:paraId="03B1FAA5" w14:textId="77777777" w:rsidR="002A0B19" w:rsidRPr="0075198D" w:rsidRDefault="002A0B19" w:rsidP="001505F1">
      <w:pPr>
        <w:pStyle w:val="Bibliography"/>
        <w:jc w:val="both"/>
        <w:rPr>
          <w:lang w:val="en-US"/>
        </w:rPr>
      </w:pPr>
      <w:r w:rsidRPr="0075198D">
        <w:rPr>
          <w:lang w:val="en-US"/>
        </w:rPr>
        <w:t xml:space="preserve">Shorrocks, A. F. (1978). The measurement of mobility. </w:t>
      </w:r>
      <w:r w:rsidRPr="0075198D">
        <w:rPr>
          <w:i/>
          <w:iCs/>
          <w:lang w:val="en-US"/>
        </w:rPr>
        <w:t>Econometrica: Journal of the Econometric Society</w:t>
      </w:r>
      <w:r w:rsidRPr="0075198D">
        <w:rPr>
          <w:lang w:val="en-US"/>
        </w:rPr>
        <w:t>, 1013–1024.</w:t>
      </w:r>
    </w:p>
    <w:p w14:paraId="5DE948A2" w14:textId="41B21BA8" w:rsidR="002A0B19" w:rsidRPr="0075198D" w:rsidRDefault="002A0B19" w:rsidP="001505F1">
      <w:pPr>
        <w:pStyle w:val="Bibliography"/>
        <w:jc w:val="both"/>
        <w:rPr>
          <w:lang w:val="en-US"/>
        </w:rPr>
      </w:pPr>
      <w:r w:rsidRPr="0075198D">
        <w:rPr>
          <w:lang w:val="en-US"/>
        </w:rPr>
        <w:t xml:space="preserve">Skopek, N. (2015). </w:t>
      </w:r>
      <w:r w:rsidRPr="0075198D">
        <w:rPr>
          <w:i/>
          <w:iCs/>
          <w:lang w:val="en-US"/>
        </w:rPr>
        <w:t>Wealth as a Distinct Dimension of Social Inequality</w:t>
      </w:r>
      <w:r w:rsidRPr="0075198D">
        <w:rPr>
          <w:lang w:val="en-US"/>
        </w:rPr>
        <w:t xml:space="preserve"> (Vol. 14). University of Bamberg Press. </w:t>
      </w:r>
    </w:p>
    <w:p w14:paraId="59944DA2" w14:textId="77777777" w:rsidR="002A0B19" w:rsidRPr="0075198D" w:rsidRDefault="002A0B19" w:rsidP="001505F1">
      <w:pPr>
        <w:pStyle w:val="Bibliography"/>
        <w:jc w:val="both"/>
        <w:rPr>
          <w:lang w:val="en-US"/>
        </w:rPr>
      </w:pPr>
      <w:r w:rsidRPr="0075198D">
        <w:rPr>
          <w:lang w:val="en-US"/>
        </w:rPr>
        <w:t xml:space="preserve">Solomon, S., &amp; Richmond, P. (2001). Power laws of wealth, market order volumes and market returns. </w:t>
      </w:r>
      <w:r w:rsidRPr="0075198D">
        <w:rPr>
          <w:i/>
          <w:iCs/>
          <w:lang w:val="en-US"/>
        </w:rPr>
        <w:t>Physica A: Statistical Mechanics and Its Applications</w:t>
      </w:r>
      <w:r w:rsidRPr="0075198D">
        <w:rPr>
          <w:lang w:val="en-US"/>
        </w:rPr>
        <w:t xml:space="preserve">, </w:t>
      </w:r>
      <w:r w:rsidRPr="0075198D">
        <w:rPr>
          <w:i/>
          <w:iCs/>
          <w:lang w:val="en-US"/>
        </w:rPr>
        <w:t>299</w:t>
      </w:r>
      <w:r w:rsidRPr="0075198D">
        <w:rPr>
          <w:lang w:val="en-US"/>
        </w:rPr>
        <w:t>(1), 188–197.</w:t>
      </w:r>
    </w:p>
    <w:p w14:paraId="29733770" w14:textId="77777777" w:rsidR="002A0B19" w:rsidRPr="0075198D" w:rsidRDefault="002A0B19" w:rsidP="001505F1">
      <w:pPr>
        <w:pStyle w:val="Bibliography"/>
        <w:jc w:val="both"/>
        <w:rPr>
          <w:lang w:val="en-US"/>
        </w:rPr>
      </w:pPr>
      <w:r w:rsidRPr="0075198D">
        <w:rPr>
          <w:lang w:val="en-US"/>
        </w:rPr>
        <w:lastRenderedPageBreak/>
        <w:t xml:space="preserve">Stiglitz, J. E. (1969). Distribution of income and wealth among individuals. </w:t>
      </w:r>
      <w:r w:rsidRPr="0075198D">
        <w:rPr>
          <w:i/>
          <w:iCs/>
          <w:lang w:val="en-US"/>
        </w:rPr>
        <w:t>Econometrica: Journal of the Econometric Society</w:t>
      </w:r>
      <w:r w:rsidRPr="0075198D">
        <w:rPr>
          <w:lang w:val="en-US"/>
        </w:rPr>
        <w:t>, 382–397.</w:t>
      </w:r>
    </w:p>
    <w:p w14:paraId="57DED023" w14:textId="47C8E09C" w:rsidR="00705521" w:rsidRDefault="00705521" w:rsidP="001505F1">
      <w:pPr>
        <w:pStyle w:val="Bibliography"/>
        <w:jc w:val="both"/>
        <w:rPr>
          <w:lang w:val="en-US"/>
        </w:rPr>
      </w:pPr>
      <w:r w:rsidRPr="00705521">
        <w:rPr>
          <w:lang w:val="en-US"/>
        </w:rPr>
        <w:t>U.S. Bureau of the Census</w:t>
      </w:r>
      <w:r w:rsidR="00530B11">
        <w:rPr>
          <w:lang w:val="en-US"/>
        </w:rPr>
        <w:t xml:space="preserve"> (2018).</w:t>
      </w:r>
      <w:r w:rsidRPr="00705521">
        <w:rPr>
          <w:lang w:val="en-US"/>
        </w:rPr>
        <w:t xml:space="preserve"> Real Median Household Income in the United States [MEHOINUSA672N], retrieved from FRED, Federal Reserve Bank of St. Louis; https://fred.stlouisfed.org/series/MEHOINUSA672N, April 25, 2018.</w:t>
      </w:r>
    </w:p>
    <w:p w14:paraId="442299A1" w14:textId="22740489" w:rsidR="002A0B19" w:rsidRPr="0075198D" w:rsidRDefault="002A0B19" w:rsidP="001505F1">
      <w:pPr>
        <w:pStyle w:val="Bibliography"/>
        <w:jc w:val="both"/>
        <w:rPr>
          <w:lang w:val="en-US"/>
        </w:rPr>
      </w:pPr>
      <w:r w:rsidRPr="0075198D">
        <w:rPr>
          <w:lang w:val="en-US"/>
        </w:rPr>
        <w:t xml:space="preserve">Wolff, E. N. (1998). Recent trends in the size distribution of household wealth. </w:t>
      </w:r>
      <w:r w:rsidRPr="0075198D">
        <w:rPr>
          <w:i/>
          <w:iCs/>
          <w:lang w:val="en-US"/>
        </w:rPr>
        <w:t>The Journal of Economic Perspectives</w:t>
      </w:r>
      <w:r w:rsidRPr="0075198D">
        <w:rPr>
          <w:lang w:val="en-US"/>
        </w:rPr>
        <w:t xml:space="preserve">, </w:t>
      </w:r>
      <w:r w:rsidRPr="0075198D">
        <w:rPr>
          <w:i/>
          <w:iCs/>
          <w:lang w:val="en-US"/>
        </w:rPr>
        <w:t>12</w:t>
      </w:r>
      <w:r w:rsidRPr="0075198D">
        <w:rPr>
          <w:lang w:val="en-US"/>
        </w:rPr>
        <w:t>(3), 131–150.</w:t>
      </w:r>
    </w:p>
    <w:p w14:paraId="7E6C9C70" w14:textId="77777777" w:rsidR="002A0B19" w:rsidRPr="0075198D" w:rsidRDefault="002A0B19" w:rsidP="001505F1">
      <w:pPr>
        <w:pStyle w:val="Bibliography"/>
        <w:jc w:val="both"/>
        <w:rPr>
          <w:lang w:val="en-US"/>
        </w:rPr>
      </w:pPr>
      <w:r w:rsidRPr="0075198D">
        <w:rPr>
          <w:lang w:val="en-US"/>
        </w:rPr>
        <w:t xml:space="preserve">Wolff, E. N. (2016). Household Wealth Trends in the United States, 1962 to 2013: What Happened over the Great Recession? </w:t>
      </w:r>
      <w:r w:rsidRPr="0075198D">
        <w:rPr>
          <w:i/>
          <w:iCs/>
          <w:lang w:val="en-US"/>
        </w:rPr>
        <w:t>RSF</w:t>
      </w:r>
      <w:r w:rsidRPr="0075198D">
        <w:rPr>
          <w:lang w:val="en-US"/>
        </w:rPr>
        <w:t>. Retrieved from http://www.rsfjournal.org/doi/abs/10.7758/RSF.2016.2.6.02</w:t>
      </w:r>
    </w:p>
    <w:p w14:paraId="27BA648F" w14:textId="77777777" w:rsidR="002A0B19" w:rsidRPr="00243A0B" w:rsidRDefault="002A0B19" w:rsidP="001505F1">
      <w:pPr>
        <w:pStyle w:val="Bibliography"/>
        <w:jc w:val="both"/>
        <w:rPr>
          <w:lang w:val="en-US"/>
        </w:rPr>
      </w:pPr>
      <w:r w:rsidRPr="0075198D">
        <w:rPr>
          <w:lang w:val="en-US"/>
        </w:rPr>
        <w:t xml:space="preserve">Xie, Y., &amp; Killewald, A. (2010). Historical Trends in Social Mobility: Data, Methods, and Farming. In </w:t>
      </w:r>
      <w:r w:rsidRPr="0075198D">
        <w:rPr>
          <w:i/>
          <w:iCs/>
          <w:lang w:val="en-US"/>
        </w:rPr>
        <w:t>annual meeting of International Sociological Association Research Committee</w:t>
      </w:r>
      <w:r w:rsidRPr="0075198D">
        <w:rPr>
          <w:lang w:val="en-US"/>
        </w:rPr>
        <w:t xml:space="preserve"> (Vol. 28). Retrieved from http://www.psc.isr.umich.edu/pubs/pdf/rr10-716.pdf</w:t>
      </w:r>
    </w:p>
    <w:p w14:paraId="50E50FEE" w14:textId="77777777" w:rsidR="009930D2" w:rsidRDefault="009930D2">
      <w:pPr>
        <w:rPr>
          <w:b/>
          <w:sz w:val="24"/>
          <w:szCs w:val="24"/>
          <w:lang w:val="en-US"/>
        </w:rPr>
      </w:pPr>
      <w:r>
        <w:rPr>
          <w:b/>
          <w:sz w:val="24"/>
          <w:szCs w:val="24"/>
          <w:lang w:val="en-US"/>
        </w:rPr>
        <w:br w:type="page"/>
      </w:r>
    </w:p>
    <w:p w14:paraId="34B07CC5" w14:textId="6C97B04B" w:rsidR="003D6CC9" w:rsidRPr="00DD0D8A" w:rsidRDefault="000F7E4A" w:rsidP="003D6CC9">
      <w:pPr>
        <w:rPr>
          <w:b/>
          <w:sz w:val="24"/>
          <w:szCs w:val="24"/>
          <w:lang w:val="en-US"/>
        </w:rPr>
      </w:pPr>
      <w:r w:rsidRPr="00DD0D8A">
        <w:rPr>
          <w:b/>
          <w:sz w:val="24"/>
          <w:szCs w:val="24"/>
          <w:lang w:val="en-US"/>
        </w:rPr>
        <w:lastRenderedPageBreak/>
        <w:t>Annex</w:t>
      </w:r>
    </w:p>
    <w:p w14:paraId="01EC9834" w14:textId="77777777" w:rsidR="000F7E4A" w:rsidRDefault="000F7E4A" w:rsidP="003D6CC9">
      <w:pPr>
        <w:rPr>
          <w:sz w:val="24"/>
          <w:szCs w:val="24"/>
          <w:lang w:val="en-US"/>
        </w:rPr>
      </w:pPr>
    </w:p>
    <w:p w14:paraId="1253304D" w14:textId="77777777" w:rsidR="000F7E4A" w:rsidRDefault="000F7E4A" w:rsidP="003D6CC9">
      <w:pPr>
        <w:rPr>
          <w:sz w:val="24"/>
          <w:szCs w:val="24"/>
          <w:lang w:val="en-US"/>
        </w:rPr>
      </w:pPr>
    </w:p>
    <w:p w14:paraId="3BB4AF16" w14:textId="3EDA0362" w:rsidR="00DD0D8A" w:rsidRDefault="000F7E4A" w:rsidP="000F7E4A">
      <w:pPr>
        <w:pStyle w:val="Caption"/>
        <w:spacing w:line="259" w:lineRule="auto"/>
        <w:rPr>
          <w:rFonts w:ascii="Times New Roman" w:eastAsia="Times New Roman" w:hAnsi="Times New Roman" w:cs="Times New Roman"/>
          <w:iCs w:val="0"/>
          <w:color w:val="auto"/>
          <w:sz w:val="24"/>
          <w:szCs w:val="24"/>
          <w:lang w:eastAsia="fr-FR" w:bidi="ar-SA"/>
        </w:rPr>
      </w:pPr>
      <w:r w:rsidRPr="0013301D">
        <w:rPr>
          <w:rFonts w:ascii="Times New Roman" w:eastAsia="Times New Roman" w:hAnsi="Times New Roman" w:cs="Times New Roman"/>
          <w:iCs w:val="0"/>
          <w:color w:val="auto"/>
          <w:sz w:val="24"/>
          <w:szCs w:val="24"/>
          <w:lang w:eastAsia="fr-FR" w:bidi="ar-SA"/>
        </w:rPr>
        <w:t xml:space="preserve">Table </w:t>
      </w:r>
      <w:r>
        <w:rPr>
          <w:rFonts w:ascii="Times New Roman" w:eastAsia="Times New Roman" w:hAnsi="Times New Roman" w:cs="Times New Roman"/>
          <w:iCs w:val="0"/>
          <w:color w:val="auto"/>
          <w:sz w:val="24"/>
          <w:szCs w:val="24"/>
          <w:lang w:eastAsia="fr-FR" w:bidi="ar-SA"/>
        </w:rPr>
        <w:t>A.</w:t>
      </w:r>
      <w:r w:rsidRPr="0013301D">
        <w:rPr>
          <w:rFonts w:ascii="Times New Roman" w:eastAsia="Times New Roman" w:hAnsi="Times New Roman" w:cs="Times New Roman"/>
          <w:iCs w:val="0"/>
          <w:color w:val="auto"/>
          <w:sz w:val="24"/>
          <w:szCs w:val="24"/>
          <w:lang w:eastAsia="fr-FR" w:bidi="ar-SA"/>
        </w:rPr>
        <w:fldChar w:fldCharType="begin"/>
      </w:r>
      <w:r w:rsidRPr="0013301D">
        <w:rPr>
          <w:rFonts w:ascii="Times New Roman" w:eastAsia="Times New Roman" w:hAnsi="Times New Roman" w:cs="Times New Roman"/>
          <w:iCs w:val="0"/>
          <w:color w:val="auto"/>
          <w:sz w:val="24"/>
          <w:szCs w:val="24"/>
          <w:lang w:eastAsia="fr-FR" w:bidi="ar-SA"/>
        </w:rPr>
        <w:instrText xml:space="preserve"> SEQ Table \* ARABIC </w:instrText>
      </w:r>
      <w:r w:rsidRPr="0013301D">
        <w:rPr>
          <w:rFonts w:ascii="Times New Roman" w:eastAsia="Times New Roman" w:hAnsi="Times New Roman" w:cs="Times New Roman"/>
          <w:iCs w:val="0"/>
          <w:color w:val="auto"/>
          <w:sz w:val="24"/>
          <w:szCs w:val="24"/>
          <w:lang w:eastAsia="fr-FR" w:bidi="ar-SA"/>
        </w:rPr>
        <w:fldChar w:fldCharType="separate"/>
      </w:r>
      <w:r w:rsidR="00580B7D">
        <w:rPr>
          <w:rFonts w:ascii="Times New Roman" w:eastAsia="Times New Roman" w:hAnsi="Times New Roman" w:cs="Times New Roman"/>
          <w:iCs w:val="0"/>
          <w:noProof/>
          <w:color w:val="auto"/>
          <w:sz w:val="24"/>
          <w:szCs w:val="24"/>
          <w:lang w:eastAsia="fr-FR" w:bidi="ar-SA"/>
        </w:rPr>
        <w:t>1</w:t>
      </w:r>
      <w:r w:rsidRPr="0013301D">
        <w:rPr>
          <w:rFonts w:ascii="Times New Roman" w:eastAsia="Times New Roman" w:hAnsi="Times New Roman" w:cs="Times New Roman"/>
          <w:iCs w:val="0"/>
          <w:color w:val="auto"/>
          <w:sz w:val="24"/>
          <w:szCs w:val="24"/>
          <w:lang w:eastAsia="fr-FR" w:bidi="ar-SA"/>
        </w:rPr>
        <w:fldChar w:fldCharType="end"/>
      </w:r>
      <w:r w:rsidRPr="0013301D">
        <w:rPr>
          <w:rFonts w:ascii="Times New Roman" w:eastAsia="Times New Roman" w:hAnsi="Times New Roman" w:cs="Times New Roman"/>
          <w:iCs w:val="0"/>
          <w:color w:val="auto"/>
          <w:sz w:val="24"/>
          <w:szCs w:val="24"/>
          <w:lang w:eastAsia="fr-FR" w:bidi="ar-SA"/>
        </w:rPr>
        <w:t>: Conversion between logit(rank) and percentiles</w:t>
      </w:r>
    </w:p>
    <w:tbl>
      <w:tblPr>
        <w:tblStyle w:val="TableGrid"/>
        <w:tblW w:w="0" w:type="auto"/>
        <w:tblLook w:val="04A0" w:firstRow="1" w:lastRow="0" w:firstColumn="1" w:lastColumn="0" w:noHBand="0" w:noVBand="1"/>
      </w:tblPr>
      <w:tblGrid>
        <w:gridCol w:w="3024"/>
        <w:gridCol w:w="1921"/>
      </w:tblGrid>
      <w:tr w:rsidR="00DD0D8A" w14:paraId="3979DA1D" w14:textId="77777777" w:rsidTr="001505F1">
        <w:tc>
          <w:tcPr>
            <w:tcW w:w="3024" w:type="dxa"/>
            <w:vAlign w:val="bottom"/>
          </w:tcPr>
          <w:p w14:paraId="6AF75F12" w14:textId="0AB621AA"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 xml:space="preserve">Logit(rank)=  </w:t>
            </w:r>
            <w:r>
              <w:rPr>
                <w:color w:val="000000"/>
              </w:rPr>
              <w:t>ln(p/(1-p)</w:t>
            </w:r>
          </w:p>
        </w:tc>
        <w:tc>
          <w:tcPr>
            <w:tcW w:w="1921" w:type="dxa"/>
            <w:vAlign w:val="bottom"/>
          </w:tcPr>
          <w:p w14:paraId="2F0712C0" w14:textId="0EBFDE7F"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Percentile/rank p</w:t>
            </w:r>
          </w:p>
        </w:tc>
      </w:tr>
      <w:tr w:rsidR="00C05061" w14:paraId="5CEC2DC2" w14:textId="77777777" w:rsidTr="001505F1">
        <w:tc>
          <w:tcPr>
            <w:tcW w:w="3024" w:type="dxa"/>
            <w:vAlign w:val="bottom"/>
          </w:tcPr>
          <w:p w14:paraId="744496E6" w14:textId="198254E6" w:rsidR="00C05061" w:rsidRDefault="00C05061" w:rsidP="00C05061">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-7</w:t>
            </w:r>
          </w:p>
        </w:tc>
        <w:tc>
          <w:tcPr>
            <w:tcW w:w="1921" w:type="dxa"/>
            <w:vAlign w:val="center"/>
          </w:tcPr>
          <w:p w14:paraId="065DF0D1" w14:textId="6AF56905" w:rsidR="00C05061" w:rsidRDefault="00C05061" w:rsidP="00A8023D">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0.001</w:t>
            </w:r>
          </w:p>
        </w:tc>
      </w:tr>
      <w:tr w:rsidR="00DD0D8A" w14:paraId="350241DE" w14:textId="77777777" w:rsidTr="001505F1">
        <w:tc>
          <w:tcPr>
            <w:tcW w:w="3024" w:type="dxa"/>
            <w:vAlign w:val="bottom"/>
          </w:tcPr>
          <w:p w14:paraId="0E5F0AEE" w14:textId="04CE2D62"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-6</w:t>
            </w:r>
          </w:p>
        </w:tc>
        <w:tc>
          <w:tcPr>
            <w:tcW w:w="1921" w:type="dxa"/>
            <w:vAlign w:val="center"/>
          </w:tcPr>
          <w:p w14:paraId="6F32F811" w14:textId="205B61AC"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0.002</w:t>
            </w:r>
          </w:p>
        </w:tc>
      </w:tr>
      <w:tr w:rsidR="00DD0D8A" w14:paraId="3A8F0DD6" w14:textId="77777777" w:rsidTr="001505F1">
        <w:tc>
          <w:tcPr>
            <w:tcW w:w="3024" w:type="dxa"/>
            <w:vAlign w:val="bottom"/>
          </w:tcPr>
          <w:p w14:paraId="32A5B5DE" w14:textId="1459423E"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-5</w:t>
            </w:r>
          </w:p>
        </w:tc>
        <w:tc>
          <w:tcPr>
            <w:tcW w:w="1921" w:type="dxa"/>
            <w:vAlign w:val="center"/>
          </w:tcPr>
          <w:p w14:paraId="1A3EE5C9" w14:textId="6CBECB57"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0.007</w:t>
            </w:r>
          </w:p>
        </w:tc>
      </w:tr>
      <w:tr w:rsidR="00DD0D8A" w14:paraId="6F98C8B4" w14:textId="77777777" w:rsidTr="001505F1">
        <w:tc>
          <w:tcPr>
            <w:tcW w:w="3024" w:type="dxa"/>
            <w:vAlign w:val="bottom"/>
          </w:tcPr>
          <w:p w14:paraId="1D129227" w14:textId="55D18F8C"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-4</w:t>
            </w:r>
          </w:p>
        </w:tc>
        <w:tc>
          <w:tcPr>
            <w:tcW w:w="1921" w:type="dxa"/>
            <w:vAlign w:val="center"/>
          </w:tcPr>
          <w:p w14:paraId="6C7D999D" w14:textId="6E8BA9DC"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0.018</w:t>
            </w:r>
          </w:p>
        </w:tc>
      </w:tr>
      <w:tr w:rsidR="00DD0D8A" w14:paraId="66DF28B1" w14:textId="77777777" w:rsidTr="001505F1">
        <w:tc>
          <w:tcPr>
            <w:tcW w:w="3024" w:type="dxa"/>
            <w:vAlign w:val="bottom"/>
          </w:tcPr>
          <w:p w14:paraId="53588A70" w14:textId="46AF5C8F"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-3</w:t>
            </w:r>
          </w:p>
        </w:tc>
        <w:tc>
          <w:tcPr>
            <w:tcW w:w="1921" w:type="dxa"/>
            <w:vAlign w:val="center"/>
          </w:tcPr>
          <w:p w14:paraId="06C3DE02" w14:textId="7F00546E"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0.047</w:t>
            </w:r>
          </w:p>
        </w:tc>
      </w:tr>
      <w:tr w:rsidR="00DD0D8A" w14:paraId="0B36CFBD" w14:textId="77777777" w:rsidTr="001505F1">
        <w:tc>
          <w:tcPr>
            <w:tcW w:w="3024" w:type="dxa"/>
            <w:vAlign w:val="bottom"/>
          </w:tcPr>
          <w:p w14:paraId="3E5E043C" w14:textId="2848581C"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-2</w:t>
            </w:r>
          </w:p>
        </w:tc>
        <w:tc>
          <w:tcPr>
            <w:tcW w:w="1921" w:type="dxa"/>
            <w:vAlign w:val="center"/>
          </w:tcPr>
          <w:p w14:paraId="37D5414C" w14:textId="4AB3F560"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0.119</w:t>
            </w:r>
          </w:p>
        </w:tc>
      </w:tr>
      <w:tr w:rsidR="00DD0D8A" w14:paraId="439B45DA" w14:textId="77777777" w:rsidTr="001505F1">
        <w:tc>
          <w:tcPr>
            <w:tcW w:w="3024" w:type="dxa"/>
            <w:vAlign w:val="bottom"/>
          </w:tcPr>
          <w:p w14:paraId="02118ADB" w14:textId="2450F7E0"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-1</w:t>
            </w:r>
          </w:p>
        </w:tc>
        <w:tc>
          <w:tcPr>
            <w:tcW w:w="1921" w:type="dxa"/>
            <w:vAlign w:val="center"/>
          </w:tcPr>
          <w:p w14:paraId="76089DD1" w14:textId="74D92FA0"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0.269</w:t>
            </w:r>
          </w:p>
        </w:tc>
      </w:tr>
      <w:tr w:rsidR="00DD0D8A" w14:paraId="7DFC7B46" w14:textId="77777777" w:rsidTr="001505F1">
        <w:tc>
          <w:tcPr>
            <w:tcW w:w="3024" w:type="dxa"/>
            <w:vAlign w:val="bottom"/>
          </w:tcPr>
          <w:p w14:paraId="4562CE18" w14:textId="0C69BB57"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0 (median)</w:t>
            </w:r>
          </w:p>
        </w:tc>
        <w:tc>
          <w:tcPr>
            <w:tcW w:w="1921" w:type="dxa"/>
            <w:vAlign w:val="center"/>
          </w:tcPr>
          <w:p w14:paraId="7A893D2A" w14:textId="4B04FF77"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0.500</w:t>
            </w:r>
          </w:p>
        </w:tc>
      </w:tr>
      <w:tr w:rsidR="00DD0D8A" w14:paraId="50B635AC" w14:textId="77777777" w:rsidTr="001505F1">
        <w:tc>
          <w:tcPr>
            <w:tcW w:w="3024" w:type="dxa"/>
            <w:vAlign w:val="bottom"/>
          </w:tcPr>
          <w:p w14:paraId="1509E803" w14:textId="3D1DBEEA"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1  (approx. top quartile)</w:t>
            </w:r>
          </w:p>
        </w:tc>
        <w:tc>
          <w:tcPr>
            <w:tcW w:w="1921" w:type="dxa"/>
            <w:vAlign w:val="center"/>
          </w:tcPr>
          <w:p w14:paraId="381675E9" w14:textId="19C95944"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0.731</w:t>
            </w:r>
          </w:p>
        </w:tc>
      </w:tr>
      <w:tr w:rsidR="00DD0D8A" w14:paraId="57AD0753" w14:textId="77777777" w:rsidTr="001505F1">
        <w:tc>
          <w:tcPr>
            <w:tcW w:w="3024" w:type="dxa"/>
            <w:vAlign w:val="bottom"/>
          </w:tcPr>
          <w:p w14:paraId="2D535C64" w14:textId="77C04FE5"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2 (approx. top decile)</w:t>
            </w:r>
          </w:p>
        </w:tc>
        <w:tc>
          <w:tcPr>
            <w:tcW w:w="1921" w:type="dxa"/>
            <w:vAlign w:val="center"/>
          </w:tcPr>
          <w:p w14:paraId="720C29D0" w14:textId="5C7241CB"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0.881</w:t>
            </w:r>
          </w:p>
        </w:tc>
      </w:tr>
      <w:tr w:rsidR="00DD0D8A" w14:paraId="46C1874C" w14:textId="77777777" w:rsidTr="001505F1">
        <w:tc>
          <w:tcPr>
            <w:tcW w:w="3024" w:type="dxa"/>
            <w:vAlign w:val="bottom"/>
          </w:tcPr>
          <w:p w14:paraId="39561CF3" w14:textId="12E382EA" w:rsidR="00DD0D8A" w:rsidRDefault="0073499E" w:rsidP="0073499E">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3 (approx. top ve</w:t>
            </w:r>
            <w:r w:rsidR="00DD0D8A">
              <w:rPr>
                <w:rFonts w:ascii="Calibri" w:hAnsi="Calibri"/>
                <w:color w:val="000000"/>
              </w:rPr>
              <w:t>ntile)</w:t>
            </w:r>
          </w:p>
        </w:tc>
        <w:tc>
          <w:tcPr>
            <w:tcW w:w="1921" w:type="dxa"/>
            <w:vAlign w:val="center"/>
          </w:tcPr>
          <w:p w14:paraId="37A16C39" w14:textId="2652FC83"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0.953</w:t>
            </w:r>
          </w:p>
        </w:tc>
      </w:tr>
      <w:tr w:rsidR="00DD0D8A" w14:paraId="6D0E5324" w14:textId="77777777" w:rsidTr="001505F1">
        <w:tc>
          <w:tcPr>
            <w:tcW w:w="3024" w:type="dxa"/>
            <w:vAlign w:val="bottom"/>
          </w:tcPr>
          <w:p w14:paraId="09512A02" w14:textId="2439C711"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4</w:t>
            </w:r>
          </w:p>
        </w:tc>
        <w:tc>
          <w:tcPr>
            <w:tcW w:w="1921" w:type="dxa"/>
            <w:vAlign w:val="center"/>
          </w:tcPr>
          <w:p w14:paraId="09C531A6" w14:textId="58ADF96B"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0.982</w:t>
            </w:r>
          </w:p>
        </w:tc>
      </w:tr>
      <w:tr w:rsidR="00DD0D8A" w14:paraId="79FADD43" w14:textId="77777777" w:rsidTr="001505F1">
        <w:tc>
          <w:tcPr>
            <w:tcW w:w="3024" w:type="dxa"/>
            <w:vAlign w:val="bottom"/>
          </w:tcPr>
          <w:p w14:paraId="7FA85A99" w14:textId="74F1E3EE"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5 (approx. top 1%)</w:t>
            </w:r>
          </w:p>
        </w:tc>
        <w:tc>
          <w:tcPr>
            <w:tcW w:w="1921" w:type="dxa"/>
            <w:vAlign w:val="center"/>
          </w:tcPr>
          <w:p w14:paraId="78A8ACD2" w14:textId="254650D2"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0.993</w:t>
            </w:r>
          </w:p>
        </w:tc>
      </w:tr>
      <w:tr w:rsidR="00DD0D8A" w14:paraId="1FF8F83B" w14:textId="77777777" w:rsidTr="001505F1">
        <w:tc>
          <w:tcPr>
            <w:tcW w:w="3024" w:type="dxa"/>
            <w:vAlign w:val="bottom"/>
          </w:tcPr>
          <w:p w14:paraId="22D09CF8" w14:textId="685CDB17"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color w:val="000000"/>
              </w:rPr>
              <w:t>6</w:t>
            </w:r>
          </w:p>
        </w:tc>
        <w:tc>
          <w:tcPr>
            <w:tcW w:w="1921" w:type="dxa"/>
            <w:vAlign w:val="center"/>
          </w:tcPr>
          <w:p w14:paraId="38228945" w14:textId="15973EB1" w:rsidR="00DD0D8A" w:rsidRDefault="00DD0D8A" w:rsidP="00AC56B9">
            <w:pPr>
              <w:pStyle w:val="Caption"/>
              <w:spacing w:before="40" w:after="0"/>
              <w:rPr>
                <w:rFonts w:ascii="Times New Roman" w:eastAsia="Times New Roman" w:hAnsi="Times New Roman" w:cs="Times New Roman"/>
                <w:i w:val="0"/>
                <w:iCs w:val="0"/>
                <w:color w:val="auto"/>
                <w:sz w:val="24"/>
                <w:szCs w:val="24"/>
                <w:lang w:eastAsia="fr-FR" w:bidi="ar-SA"/>
              </w:rPr>
            </w:pPr>
            <w:r>
              <w:rPr>
                <w:rFonts w:ascii="Calibri" w:hAnsi="Calibri"/>
                <w:i w:val="0"/>
                <w:iCs w:val="0"/>
                <w:color w:val="000000"/>
              </w:rPr>
              <w:t>0.998</w:t>
            </w:r>
          </w:p>
        </w:tc>
      </w:tr>
      <w:tr w:rsidR="0073499E" w14:paraId="2EE7FD9A" w14:textId="77777777" w:rsidTr="001505F1">
        <w:tc>
          <w:tcPr>
            <w:tcW w:w="3024" w:type="dxa"/>
            <w:vAlign w:val="bottom"/>
          </w:tcPr>
          <w:p w14:paraId="6D7FD9F8" w14:textId="5C35327A" w:rsidR="0073499E" w:rsidRDefault="0073499E" w:rsidP="00AC56B9">
            <w:pPr>
              <w:pStyle w:val="Caption"/>
              <w:spacing w:before="40" w:after="0"/>
              <w:rPr>
                <w:rFonts w:ascii="Calibri" w:hAnsi="Calibri"/>
                <w:color w:val="000000"/>
              </w:rPr>
            </w:pPr>
            <w:r>
              <w:rPr>
                <w:rFonts w:ascii="Calibri" w:hAnsi="Calibri"/>
                <w:color w:val="000000"/>
              </w:rPr>
              <w:t>7 (approx. top 0.1%)</w:t>
            </w:r>
          </w:p>
        </w:tc>
        <w:tc>
          <w:tcPr>
            <w:tcW w:w="1921" w:type="dxa"/>
            <w:vAlign w:val="center"/>
          </w:tcPr>
          <w:p w14:paraId="5CD9E9B7" w14:textId="6A3E0660" w:rsidR="0073499E" w:rsidRDefault="0073499E" w:rsidP="00AC56B9">
            <w:pPr>
              <w:pStyle w:val="Caption"/>
              <w:spacing w:before="40" w:after="0"/>
              <w:rPr>
                <w:rFonts w:ascii="Calibri" w:hAnsi="Calibri"/>
                <w:i w:val="0"/>
                <w:iCs w:val="0"/>
                <w:color w:val="000000"/>
              </w:rPr>
            </w:pPr>
            <w:r>
              <w:rPr>
                <w:rFonts w:ascii="Calibri" w:hAnsi="Calibri"/>
                <w:i w:val="0"/>
                <w:iCs w:val="0"/>
                <w:color w:val="000000"/>
              </w:rPr>
              <w:t>0.999</w:t>
            </w:r>
          </w:p>
        </w:tc>
      </w:tr>
    </w:tbl>
    <w:p w14:paraId="6D1E79F6" w14:textId="77777777" w:rsidR="00DD0D8A" w:rsidRDefault="00DD0D8A" w:rsidP="000F7E4A">
      <w:pPr>
        <w:pStyle w:val="Caption"/>
        <w:spacing w:line="259" w:lineRule="auto"/>
        <w:rPr>
          <w:rFonts w:ascii="Times New Roman" w:eastAsia="Times New Roman" w:hAnsi="Times New Roman" w:cs="Times New Roman"/>
          <w:i w:val="0"/>
          <w:iCs w:val="0"/>
          <w:color w:val="auto"/>
          <w:sz w:val="24"/>
          <w:szCs w:val="24"/>
          <w:lang w:eastAsia="fr-FR" w:bidi="ar-SA"/>
        </w:rPr>
      </w:pPr>
    </w:p>
    <w:p w14:paraId="14DBF736" w14:textId="03293D16" w:rsidR="0099386B" w:rsidRDefault="0099386B" w:rsidP="0099386B">
      <w:pPr>
        <w:spacing w:after="120" w:line="480" w:lineRule="auto"/>
        <w:jc w:val="both"/>
        <w:rPr>
          <w:i/>
          <w:sz w:val="24"/>
          <w:szCs w:val="24"/>
          <w:lang w:val="en-GB"/>
        </w:rPr>
      </w:pPr>
      <w:r>
        <w:rPr>
          <w:i/>
          <w:sz w:val="24"/>
          <w:szCs w:val="24"/>
          <w:lang w:val="en-GB"/>
        </w:rPr>
        <w:t>Fig A</w:t>
      </w:r>
      <w:r w:rsidR="00F1513D">
        <w:rPr>
          <w:i/>
          <w:sz w:val="24"/>
          <w:szCs w:val="24"/>
          <w:lang w:val="en-GB"/>
        </w:rPr>
        <w:t>.</w:t>
      </w:r>
      <w:r>
        <w:rPr>
          <w:i/>
          <w:sz w:val="24"/>
          <w:szCs w:val="24"/>
          <w:lang w:val="en-GB"/>
        </w:rPr>
        <w:t xml:space="preserve">1: Trends in overall inequality in wealth: Gini and Atkinson indices </w:t>
      </w:r>
    </w:p>
    <w:p w14:paraId="1C70B88A" w14:textId="34C9037D" w:rsidR="000F7E4A" w:rsidRDefault="0099386B" w:rsidP="00F1513D">
      <w:pPr>
        <w:jc w:val="center"/>
        <w:rPr>
          <w:sz w:val="24"/>
          <w:szCs w:val="24"/>
          <w:lang w:val="en-GB"/>
        </w:rPr>
      </w:pPr>
      <w:r w:rsidRPr="0099386B">
        <w:rPr>
          <w:noProof/>
          <w:sz w:val="24"/>
          <w:szCs w:val="24"/>
          <w:lang w:val="en-US" w:eastAsia="en-US"/>
        </w:rPr>
        <w:drawing>
          <wp:inline distT="0" distB="0" distL="0" distR="0" wp14:anchorId="52574800" wp14:editId="19CF16D5">
            <wp:extent cx="4423579" cy="32342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428603" cy="3237940"/>
                    </a:xfrm>
                    <a:prstGeom prst="rect">
                      <a:avLst/>
                    </a:prstGeom>
                    <a:noFill/>
                    <a:ln>
                      <a:noFill/>
                    </a:ln>
                  </pic:spPr>
                </pic:pic>
              </a:graphicData>
            </a:graphic>
          </wp:inline>
        </w:drawing>
      </w:r>
    </w:p>
    <w:p w14:paraId="1481D024" w14:textId="7B1C1F8F" w:rsidR="0049049A" w:rsidRPr="0013301D" w:rsidRDefault="0049049A" w:rsidP="00F1513D">
      <w:pPr>
        <w:spacing w:after="120"/>
        <w:jc w:val="both"/>
        <w:rPr>
          <w:szCs w:val="24"/>
          <w:lang w:val="en-GB"/>
        </w:rPr>
      </w:pPr>
      <w:r>
        <w:rPr>
          <w:szCs w:val="24"/>
          <w:lang w:val="en-GB"/>
        </w:rPr>
        <w:t xml:space="preserve">Source: LWS (US-SCF). Note: Compared to figure </w:t>
      </w:r>
      <w:r>
        <w:rPr>
          <w:lang w:val="en-US"/>
        </w:rPr>
        <w:t xml:space="preserve">1 in the text (pertaining to above the median wealth) we consider here all the negative and zero values. The A(2) measure is entirely saturated and A(1) and Gini take extreme values difficult to differentiate. </w:t>
      </w:r>
    </w:p>
    <w:p w14:paraId="76352E74" w14:textId="77777777" w:rsidR="0099386B" w:rsidRPr="003109B9" w:rsidRDefault="0099386B" w:rsidP="003D6CC9">
      <w:pPr>
        <w:rPr>
          <w:sz w:val="24"/>
          <w:szCs w:val="24"/>
          <w:lang w:val="en-GB"/>
        </w:rPr>
      </w:pPr>
    </w:p>
    <w:p w14:paraId="2A79918F" w14:textId="77777777" w:rsidR="00F1513D" w:rsidRDefault="00F1513D">
      <w:pPr>
        <w:rPr>
          <w:i/>
          <w:sz w:val="24"/>
          <w:lang w:val="en-US"/>
        </w:rPr>
      </w:pPr>
      <w:r>
        <w:rPr>
          <w:i/>
          <w:sz w:val="24"/>
          <w:lang w:val="en-US"/>
        </w:rPr>
        <w:br w:type="page"/>
      </w:r>
    </w:p>
    <w:p w14:paraId="59FBFA2C" w14:textId="1A647906" w:rsidR="00043D9E" w:rsidRPr="00AC56B9" w:rsidRDefault="00043D9E" w:rsidP="0099386B">
      <w:pPr>
        <w:rPr>
          <w:i/>
          <w:sz w:val="24"/>
          <w:lang w:val="en-US"/>
        </w:rPr>
      </w:pPr>
      <w:r w:rsidRPr="00370EA7">
        <w:rPr>
          <w:i/>
          <w:sz w:val="24"/>
          <w:lang w:val="en-US"/>
        </w:rPr>
        <w:lastRenderedPageBreak/>
        <w:t>Fig A</w:t>
      </w:r>
      <w:r w:rsidR="009A603C">
        <w:rPr>
          <w:i/>
          <w:sz w:val="24"/>
          <w:lang w:val="en-US"/>
        </w:rPr>
        <w:t>.</w:t>
      </w:r>
      <w:r w:rsidR="0099386B">
        <w:rPr>
          <w:i/>
          <w:sz w:val="24"/>
          <w:lang w:val="en-US"/>
        </w:rPr>
        <w:t>2</w:t>
      </w:r>
      <w:r w:rsidRPr="00370EA7">
        <w:rPr>
          <w:i/>
          <w:sz w:val="24"/>
          <w:lang w:val="en-US"/>
        </w:rPr>
        <w:t xml:space="preserve">. </w:t>
      </w:r>
      <w:r w:rsidRPr="00370EA7">
        <w:rPr>
          <w:i/>
          <w:sz w:val="24"/>
          <w:lang w:val="en-GB"/>
        </w:rPr>
        <w:t xml:space="preserve">Isographs of </w:t>
      </w:r>
      <w:r w:rsidR="00B84C48">
        <w:rPr>
          <w:i/>
          <w:sz w:val="24"/>
          <w:lang w:val="en-GB"/>
        </w:rPr>
        <w:t>i</w:t>
      </w:r>
      <w:r w:rsidRPr="00370EA7">
        <w:rPr>
          <w:i/>
          <w:sz w:val="24"/>
          <w:lang w:val="en-GB"/>
        </w:rPr>
        <w:t xml:space="preserve">ncome and </w:t>
      </w:r>
      <w:r w:rsidR="00B84C48">
        <w:rPr>
          <w:i/>
          <w:sz w:val="24"/>
          <w:lang w:val="en-GB"/>
        </w:rPr>
        <w:t>w</w:t>
      </w:r>
      <w:r w:rsidRPr="00370EA7">
        <w:rPr>
          <w:i/>
          <w:sz w:val="24"/>
          <w:lang w:val="en-GB"/>
        </w:rPr>
        <w:t>ealth</w:t>
      </w:r>
      <w:r w:rsidR="00B84C48">
        <w:rPr>
          <w:i/>
          <w:sz w:val="24"/>
          <w:lang w:val="en-GB"/>
        </w:rPr>
        <w:t xml:space="preserve"> for the upper half of the respective distribution</w:t>
      </w:r>
      <w:r w:rsidRPr="00370EA7">
        <w:rPr>
          <w:i/>
          <w:sz w:val="24"/>
          <w:lang w:val="en-GB"/>
        </w:rPr>
        <w:t>, 1995 to 2013</w:t>
      </w:r>
      <w:r>
        <w:rPr>
          <w:i/>
          <w:sz w:val="24"/>
          <w:szCs w:val="24"/>
          <w:lang w:val="en-GB"/>
        </w:rPr>
        <w:t xml:space="preserve"> </w:t>
      </w:r>
    </w:p>
    <w:p w14:paraId="3155ED67" w14:textId="14E62107" w:rsidR="006E43C1" w:rsidRDefault="00352288" w:rsidP="003D6CC9">
      <w:pPr>
        <w:rPr>
          <w:sz w:val="24"/>
          <w:szCs w:val="24"/>
          <w:lang w:val="en-US"/>
        </w:rPr>
      </w:pPr>
      <w:r w:rsidRPr="00352288">
        <w:rPr>
          <w:noProof/>
          <w:sz w:val="24"/>
          <w:szCs w:val="24"/>
          <w:lang w:val="en-US" w:eastAsia="en-US"/>
        </w:rPr>
        <w:drawing>
          <wp:inline distT="0" distB="0" distL="0" distR="0" wp14:anchorId="0FF52B4F" wp14:editId="39AF1387">
            <wp:extent cx="5768340" cy="4197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68340" cy="4197350"/>
                    </a:xfrm>
                    <a:prstGeom prst="rect">
                      <a:avLst/>
                    </a:prstGeom>
                  </pic:spPr>
                </pic:pic>
              </a:graphicData>
            </a:graphic>
          </wp:inline>
        </w:drawing>
      </w:r>
      <w:r w:rsidR="004A6532" w:rsidRPr="00F1513D">
        <w:rPr>
          <w:noProof/>
          <w:lang w:val="en-US"/>
        </w:rPr>
        <w:t xml:space="preserve"> </w:t>
      </w:r>
    </w:p>
    <w:p w14:paraId="50B36ACF" w14:textId="23AAF62F" w:rsidR="006E43C1" w:rsidRDefault="0049049A" w:rsidP="003D6CC9">
      <w:pPr>
        <w:rPr>
          <w:lang w:val="en-US"/>
        </w:rPr>
      </w:pPr>
      <w:r>
        <w:rPr>
          <w:lang w:val="en-US"/>
        </w:rPr>
        <w:t>Source: LWS (US-SCF).</w:t>
      </w:r>
    </w:p>
    <w:p w14:paraId="4E2587B0" w14:textId="77777777" w:rsidR="0099386B" w:rsidRDefault="0099386B" w:rsidP="003D6CC9">
      <w:pPr>
        <w:rPr>
          <w:lang w:val="en-US" w:bidi="he-IL"/>
        </w:rPr>
      </w:pPr>
    </w:p>
    <w:p w14:paraId="32B2E6D5" w14:textId="77777777" w:rsidR="00BE7C85" w:rsidRDefault="00BE7C85" w:rsidP="003D6CC9">
      <w:pPr>
        <w:rPr>
          <w:lang w:val="en-US" w:bidi="he-IL"/>
        </w:rPr>
      </w:pPr>
    </w:p>
    <w:p w14:paraId="6A87AAB1" w14:textId="136EAA47" w:rsidR="00BE7C85" w:rsidRPr="00AC56B9" w:rsidRDefault="00BE7C85" w:rsidP="00BE7C85">
      <w:pPr>
        <w:rPr>
          <w:i/>
          <w:sz w:val="24"/>
          <w:lang w:val="en-US"/>
        </w:rPr>
      </w:pPr>
      <w:r w:rsidRPr="00370EA7">
        <w:rPr>
          <w:i/>
          <w:sz w:val="24"/>
          <w:lang w:val="en-US"/>
        </w:rPr>
        <w:t>Fig A</w:t>
      </w:r>
      <w:r>
        <w:rPr>
          <w:i/>
          <w:sz w:val="24"/>
          <w:lang w:val="en-US"/>
        </w:rPr>
        <w:t>.3</w:t>
      </w:r>
      <w:r w:rsidRPr="00370EA7">
        <w:rPr>
          <w:i/>
          <w:sz w:val="24"/>
          <w:lang w:val="en-US"/>
        </w:rPr>
        <w:t xml:space="preserve">. </w:t>
      </w:r>
      <w:r w:rsidRPr="00370EA7">
        <w:rPr>
          <w:i/>
          <w:sz w:val="24"/>
          <w:lang w:val="en-GB"/>
        </w:rPr>
        <w:t xml:space="preserve">Isographs of </w:t>
      </w:r>
      <w:r>
        <w:rPr>
          <w:i/>
          <w:sz w:val="24"/>
          <w:lang w:val="en-GB"/>
        </w:rPr>
        <w:t>i</w:t>
      </w:r>
      <w:r w:rsidRPr="00370EA7">
        <w:rPr>
          <w:i/>
          <w:sz w:val="24"/>
          <w:lang w:val="en-GB"/>
        </w:rPr>
        <w:t xml:space="preserve">ncome and </w:t>
      </w:r>
      <w:r>
        <w:rPr>
          <w:i/>
          <w:sz w:val="24"/>
          <w:lang w:val="en-GB"/>
        </w:rPr>
        <w:t>w</w:t>
      </w:r>
      <w:r w:rsidRPr="00370EA7">
        <w:rPr>
          <w:i/>
          <w:sz w:val="24"/>
          <w:lang w:val="en-GB"/>
        </w:rPr>
        <w:t>ealth</w:t>
      </w:r>
      <w:r>
        <w:rPr>
          <w:i/>
          <w:sz w:val="24"/>
          <w:lang w:val="en-GB"/>
        </w:rPr>
        <w:t xml:space="preserve"> for the upper half of the respective distribution</w:t>
      </w:r>
      <w:r w:rsidRPr="00370EA7">
        <w:rPr>
          <w:i/>
          <w:sz w:val="24"/>
          <w:lang w:val="en-GB"/>
        </w:rPr>
        <w:t xml:space="preserve">, </w:t>
      </w:r>
      <w:r>
        <w:rPr>
          <w:i/>
          <w:sz w:val="24"/>
          <w:lang w:val="en-GB"/>
        </w:rPr>
        <w:t xml:space="preserve">U.K. and U.S </w:t>
      </w:r>
    </w:p>
    <w:p w14:paraId="60D1C537" w14:textId="77777777" w:rsidR="00BE7C85" w:rsidRDefault="00BE7C85" w:rsidP="003D6CC9">
      <w:pPr>
        <w:rPr>
          <w:lang w:val="en-US" w:bidi="he-IL"/>
        </w:rPr>
      </w:pPr>
    </w:p>
    <w:p w14:paraId="520CFE88" w14:textId="49A2DF38" w:rsidR="00BE7C85" w:rsidRDefault="00BE7C85" w:rsidP="003D6CC9">
      <w:pPr>
        <w:rPr>
          <w:lang w:val="en-US" w:bidi="he-IL"/>
        </w:rPr>
      </w:pPr>
      <w:r>
        <w:rPr>
          <w:noProof/>
          <w:sz w:val="24"/>
          <w:szCs w:val="24"/>
          <w:lang w:val="en-US" w:eastAsia="en-US"/>
        </w:rPr>
        <w:drawing>
          <wp:inline distT="0" distB="0" distL="0" distR="0" wp14:anchorId="6CA3C889" wp14:editId="7379CF90">
            <wp:extent cx="5768340" cy="1995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340" cy="1995636"/>
                    </a:xfrm>
                    <a:prstGeom prst="rect">
                      <a:avLst/>
                    </a:prstGeom>
                    <a:noFill/>
                  </pic:spPr>
                </pic:pic>
              </a:graphicData>
            </a:graphic>
          </wp:inline>
        </w:drawing>
      </w:r>
    </w:p>
    <w:p w14:paraId="31032A74" w14:textId="5D74C04C" w:rsidR="00BE7C85" w:rsidRDefault="00BE7C85" w:rsidP="00BE7C85">
      <w:pPr>
        <w:rPr>
          <w:lang w:val="en-US"/>
        </w:rPr>
      </w:pPr>
      <w:r>
        <w:rPr>
          <w:lang w:val="en-US"/>
        </w:rPr>
        <w:t xml:space="preserve">Source: LWS (US-SCF </w:t>
      </w:r>
      <w:r w:rsidR="00EA5667">
        <w:rPr>
          <w:lang w:val="en-US"/>
        </w:rPr>
        <w:t xml:space="preserve">2013 </w:t>
      </w:r>
      <w:r>
        <w:rPr>
          <w:lang w:val="en-US"/>
        </w:rPr>
        <w:t>&amp; UK-WAS</w:t>
      </w:r>
      <w:r w:rsidR="00EA5667">
        <w:rPr>
          <w:lang w:val="en-US"/>
        </w:rPr>
        <w:t xml:space="preserve"> 2011</w:t>
      </w:r>
      <w:r>
        <w:rPr>
          <w:lang w:val="en-US"/>
        </w:rPr>
        <w:t>).</w:t>
      </w:r>
    </w:p>
    <w:p w14:paraId="630203F7" w14:textId="77777777" w:rsidR="00EA5667" w:rsidRDefault="00EA5667" w:rsidP="00BE7C85">
      <w:pPr>
        <w:rPr>
          <w:lang w:val="en-US"/>
        </w:rPr>
      </w:pPr>
    </w:p>
    <w:p w14:paraId="3DA2F2C1" w14:textId="77777777" w:rsidR="00F1513D" w:rsidRDefault="00F1513D">
      <w:pPr>
        <w:rPr>
          <w:i/>
          <w:sz w:val="24"/>
          <w:lang w:val="en-US"/>
        </w:rPr>
      </w:pPr>
      <w:r>
        <w:rPr>
          <w:i/>
          <w:sz w:val="24"/>
          <w:lang w:val="en-US"/>
        </w:rPr>
        <w:br w:type="page"/>
      </w:r>
    </w:p>
    <w:p w14:paraId="42B63D1C" w14:textId="60191762" w:rsidR="00EA5667" w:rsidRPr="00AC56B9" w:rsidRDefault="00EA5667" w:rsidP="00EA5667">
      <w:pPr>
        <w:rPr>
          <w:i/>
          <w:sz w:val="24"/>
          <w:lang w:val="en-US"/>
        </w:rPr>
      </w:pPr>
      <w:r w:rsidRPr="00370EA7">
        <w:rPr>
          <w:i/>
          <w:sz w:val="24"/>
          <w:lang w:val="en-US"/>
        </w:rPr>
        <w:lastRenderedPageBreak/>
        <w:t>Fig A</w:t>
      </w:r>
      <w:r>
        <w:rPr>
          <w:i/>
          <w:sz w:val="24"/>
          <w:lang w:val="en-US"/>
        </w:rPr>
        <w:t>.4</w:t>
      </w:r>
      <w:r w:rsidRPr="00370EA7">
        <w:rPr>
          <w:i/>
          <w:sz w:val="24"/>
          <w:lang w:val="en-US"/>
        </w:rPr>
        <w:t xml:space="preserve">. </w:t>
      </w:r>
      <w:r>
        <w:rPr>
          <w:i/>
          <w:sz w:val="24"/>
          <w:lang w:val="en-US"/>
        </w:rPr>
        <w:t xml:space="preserve">Threshold values of wealth (ratio to the median) </w:t>
      </w:r>
      <w:r>
        <w:rPr>
          <w:i/>
          <w:sz w:val="24"/>
          <w:lang w:val="en-GB"/>
        </w:rPr>
        <w:t xml:space="preserve">in the U.K. and the U.S </w:t>
      </w:r>
    </w:p>
    <w:p w14:paraId="53F6EB85" w14:textId="77777777" w:rsidR="00EA5667" w:rsidRDefault="00EA5667" w:rsidP="00BE7C85">
      <w:pPr>
        <w:rPr>
          <w:lang w:val="en-US"/>
        </w:rPr>
      </w:pPr>
    </w:p>
    <w:p w14:paraId="5F5F0B32" w14:textId="773C5811" w:rsidR="00EA5667" w:rsidRDefault="00EA5667" w:rsidP="00F1513D">
      <w:pPr>
        <w:jc w:val="center"/>
        <w:rPr>
          <w:lang w:val="en-US"/>
        </w:rPr>
      </w:pPr>
      <w:r>
        <w:rPr>
          <w:noProof/>
          <w:lang w:val="en-US" w:eastAsia="en-US"/>
        </w:rPr>
        <w:drawing>
          <wp:inline distT="0" distB="0" distL="0" distR="0" wp14:anchorId="3CC82C3E" wp14:editId="18DF1832">
            <wp:extent cx="2925869" cy="1627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9759" cy="1634846"/>
                    </a:xfrm>
                    <a:prstGeom prst="rect">
                      <a:avLst/>
                    </a:prstGeom>
                    <a:noFill/>
                  </pic:spPr>
                </pic:pic>
              </a:graphicData>
            </a:graphic>
          </wp:inline>
        </w:drawing>
      </w:r>
    </w:p>
    <w:p w14:paraId="394A9C44" w14:textId="77777777" w:rsidR="00EA5667" w:rsidRDefault="00EA5667" w:rsidP="00EA5667">
      <w:pPr>
        <w:rPr>
          <w:lang w:val="en-US"/>
        </w:rPr>
      </w:pPr>
      <w:r>
        <w:rPr>
          <w:lang w:val="en-US"/>
        </w:rPr>
        <w:t>Source: LWS (US-SCF 2013 &amp; UK-WAS 2011).</w:t>
      </w:r>
    </w:p>
    <w:p w14:paraId="56F010EF" w14:textId="77777777" w:rsidR="00BE7C85" w:rsidRPr="00C05061" w:rsidRDefault="00BE7C85" w:rsidP="003D6CC9">
      <w:pPr>
        <w:rPr>
          <w:rtl/>
          <w:lang w:val="en-US" w:bidi="he-IL"/>
        </w:rPr>
      </w:pPr>
    </w:p>
    <w:sectPr w:rsidR="00BE7C85" w:rsidRPr="00C05061" w:rsidSect="00751770">
      <w:footerReference w:type="default" r:id="rId25"/>
      <w:pgSz w:w="11906" w:h="16838"/>
      <w:pgMar w:top="1411" w:right="1411" w:bottom="1411" w:left="141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92198" w14:textId="77777777" w:rsidR="008F289F" w:rsidRDefault="008F289F">
      <w:r>
        <w:separator/>
      </w:r>
    </w:p>
  </w:endnote>
  <w:endnote w:type="continuationSeparator" w:id="0">
    <w:p w14:paraId="222A0B69" w14:textId="77777777" w:rsidR="008F289F" w:rsidRDefault="008F289F">
      <w:r>
        <w:continuationSeparator/>
      </w:r>
    </w:p>
  </w:endnote>
  <w:endnote w:type="continuationNotice" w:id="1">
    <w:p w14:paraId="42FCEE6E" w14:textId="77777777" w:rsidR="008F289F" w:rsidRDefault="008F2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6FB1" w14:textId="2BD7303A" w:rsidR="00EA5667" w:rsidRDefault="00EA5667">
    <w:pPr>
      <w:pStyle w:val="Foot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sidR="00EA6E0D">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AFFC2" w14:textId="77777777" w:rsidR="008F289F" w:rsidRDefault="008F289F">
      <w:r>
        <w:separator/>
      </w:r>
    </w:p>
  </w:footnote>
  <w:footnote w:type="continuationSeparator" w:id="0">
    <w:p w14:paraId="57FEB644" w14:textId="77777777" w:rsidR="008F289F" w:rsidRDefault="008F289F">
      <w:r>
        <w:continuationSeparator/>
      </w:r>
    </w:p>
  </w:footnote>
  <w:footnote w:type="continuationNotice" w:id="1">
    <w:p w14:paraId="4D4B57AA" w14:textId="77777777" w:rsidR="008F289F" w:rsidRDefault="008F289F"/>
  </w:footnote>
  <w:footnote w:id="2">
    <w:p w14:paraId="6A3A71FF" w14:textId="2EF70F9A" w:rsidR="00EA5667" w:rsidRPr="00856F8A" w:rsidRDefault="00EA5667" w:rsidP="00FE3B48">
      <w:pPr>
        <w:pStyle w:val="FootnoteText"/>
        <w:rPr>
          <w:lang w:val="en-US"/>
        </w:rPr>
      </w:pPr>
      <w:r w:rsidRPr="00856F8A">
        <w:rPr>
          <w:rStyle w:val="FootnoteReference"/>
        </w:rPr>
        <w:footnoteRef/>
      </w:r>
      <w:r w:rsidRPr="00856F8A">
        <w:rPr>
          <w:lang w:val="en-US"/>
        </w:rPr>
        <w:t>This work was supported by the National Research Fund, Luxembourg, in the frame of the Pearl Chair project FNR/P11/05 Prosocial.</w:t>
      </w:r>
    </w:p>
  </w:footnote>
  <w:footnote w:id="3">
    <w:p w14:paraId="1D0927D3" w14:textId="77777777" w:rsidR="00EA5667" w:rsidRPr="00856F8A" w:rsidRDefault="00EA5667" w:rsidP="008938BD">
      <w:pPr>
        <w:pStyle w:val="FootnoteText"/>
        <w:rPr>
          <w:lang w:val="en-US"/>
        </w:rPr>
      </w:pPr>
      <w:r w:rsidRPr="00856F8A">
        <w:rPr>
          <w:rStyle w:val="FootnoteReference"/>
        </w:rPr>
        <w:footnoteRef/>
      </w:r>
      <w:r w:rsidRPr="00856F8A">
        <w:rPr>
          <w:lang w:val="en-US"/>
        </w:rPr>
        <w:t xml:space="preserve"> The corresponding program </w:t>
      </w:r>
      <w:r w:rsidRPr="00856F8A">
        <w:rPr>
          <w:i/>
          <w:lang w:val="en-US"/>
        </w:rPr>
        <w:t>isograph</w:t>
      </w:r>
      <w:r w:rsidRPr="00856F8A">
        <w:rPr>
          <w:lang w:val="en-US"/>
        </w:rPr>
        <w:t xml:space="preserve"> is available as an ado module in Stata (ssc install isograph).</w:t>
      </w:r>
    </w:p>
  </w:footnote>
  <w:footnote w:id="4">
    <w:p w14:paraId="72C244C9" w14:textId="7D8F6BD4" w:rsidR="00EA5667" w:rsidRPr="00856F8A" w:rsidRDefault="00EA5667" w:rsidP="00B666D2">
      <w:pPr>
        <w:pStyle w:val="FootnoteText"/>
        <w:rPr>
          <w:lang w:val="en-US"/>
        </w:rPr>
      </w:pPr>
      <w:r w:rsidRPr="00856F8A">
        <w:rPr>
          <w:rStyle w:val="FootnoteReference"/>
        </w:rPr>
        <w:footnoteRef/>
      </w:r>
      <w:r w:rsidRPr="00856F8A">
        <w:rPr>
          <w:lang w:val="en-US"/>
        </w:rPr>
        <w:t xml:space="preserve"> </w:t>
      </w:r>
      <w:r w:rsidRPr="00856F8A">
        <w:rPr>
          <w:rFonts w:eastAsiaTheme="minorEastAsia"/>
          <w:lang w:val="en-US"/>
        </w:rPr>
        <w:t>The logit rank procedure is implemented in Stata as a subroutine of the Stata module abg.ado (ssc install abg / help logitrank).</w:t>
      </w:r>
      <w:r w:rsidRPr="00856F8A">
        <w:rPr>
          <w:lang w:val="en-US"/>
        </w:rPr>
        <w:t xml:space="preserve"> Download available at https://ideas.repec.org/c/boc/bocode/s457936a.html</w:t>
      </w:r>
    </w:p>
  </w:footnote>
  <w:footnote w:id="5">
    <w:p w14:paraId="6DB71C70" w14:textId="5A790061" w:rsidR="00EA5667" w:rsidRPr="001505F1" w:rsidRDefault="00EA5667">
      <w:pPr>
        <w:pStyle w:val="FootnoteText"/>
        <w:rPr>
          <w:lang w:val="en-US"/>
        </w:rPr>
      </w:pPr>
      <w:r w:rsidRPr="00856F8A">
        <w:rPr>
          <w:rStyle w:val="FootnoteReference"/>
        </w:rPr>
        <w:footnoteRef/>
      </w:r>
      <w:r w:rsidRPr="001505F1">
        <w:rPr>
          <w:lang w:val="en-US"/>
        </w:rPr>
        <w:t xml:space="preserve"> </w:t>
      </w:r>
      <w:r w:rsidRPr="00AC56B9">
        <w:rPr>
          <w:lang w:val="en-GB"/>
        </w:rPr>
        <w:t>This diagnose is confirmed by a categorical analysis of the diagonality</w:t>
      </w:r>
      <w:r w:rsidRPr="00AC56B9">
        <w:rPr>
          <w:lang w:val="en-US"/>
        </w:rPr>
        <w:t xml:space="preserve"> (Shorrocks, 1978)</w:t>
      </w:r>
      <w:r w:rsidRPr="00AC56B9">
        <w:rPr>
          <w:lang w:val="en-GB"/>
        </w:rPr>
        <w:t xml:space="preserve"> of the income and wealth group matrix. Based on the </w:t>
      </w:r>
      <w:r w:rsidRPr="00AC56B9">
        <w:rPr>
          <w:i/>
          <w:lang w:val="en-GB"/>
        </w:rPr>
        <w:t>unidiff</w:t>
      </w:r>
      <w:r w:rsidRPr="00AC56B9">
        <w:rPr>
          <w:lang w:val="en-GB"/>
        </w:rPr>
        <w:t xml:space="preserve"> model</w:t>
      </w:r>
      <w:r w:rsidRPr="00AC56B9">
        <w:rPr>
          <w:rtl/>
          <w:lang w:val="en-GB" w:bidi="he-IL"/>
        </w:rPr>
        <w:t xml:space="preserve"> </w:t>
      </w:r>
      <w:r w:rsidRPr="00AC56B9">
        <w:rPr>
          <w:lang w:val="en-US"/>
        </w:rPr>
        <w:t>(Pisati, Schizzerotto, &amp; Breen, 2004; Xie &amp; Killewald, 2010)</w:t>
      </w:r>
      <w:r w:rsidRPr="00AC56B9">
        <w:rPr>
          <w:lang w:val="en-GB"/>
        </w:rPr>
        <w:t xml:space="preserve">, we show that over the period, logitrank groups of income and of wealth coincide significantly better: the kappa coefficient of the </w:t>
      </w:r>
      <w:r w:rsidRPr="00AC56B9">
        <w:rPr>
          <w:i/>
          <w:lang w:val="en-GB"/>
        </w:rPr>
        <w:t>unidiff</w:t>
      </w:r>
      <w:r w:rsidRPr="00AC56B9">
        <w:rPr>
          <w:lang w:val="en-GB"/>
        </w:rPr>
        <w:t xml:space="preserve"> analysis is significantly increasing between X=0 and X=6</w:t>
      </w:r>
      <w:r>
        <w:rPr>
          <w:lang w:val="en-GB"/>
        </w:rPr>
        <w:t xml:space="preserve"> (output available upon request)</w:t>
      </w:r>
      <w:r w:rsidRPr="00AC56B9">
        <w:rPr>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409000F"/>
    <w:lvl w:ilvl="0">
      <w:start w:val="1"/>
      <w:numFmt w:val="decimal"/>
      <w:pStyle w:val="Titrefigure"/>
      <w:lvlText w:val="%1)"/>
      <w:lvlJc w:val="left"/>
      <w:pPr>
        <w:tabs>
          <w:tab w:val="num" w:pos="360"/>
        </w:tabs>
        <w:ind w:left="360" w:hanging="360"/>
      </w:pPr>
    </w:lvl>
  </w:abstractNum>
  <w:abstractNum w:abstractNumId="1" w15:restartNumberingAfterBreak="0">
    <w:nsid w:val="0FB71C2B"/>
    <w:multiLevelType w:val="hybridMultilevel"/>
    <w:tmpl w:val="CE40F744"/>
    <w:lvl w:ilvl="0" w:tplc="DFDEF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03445"/>
    <w:multiLevelType w:val="hybridMultilevel"/>
    <w:tmpl w:val="AF8C147A"/>
    <w:lvl w:ilvl="0" w:tplc="75D854B8">
      <w:start w:val="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F568B"/>
    <w:multiLevelType w:val="hybridMultilevel"/>
    <w:tmpl w:val="334AF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827BA"/>
    <w:multiLevelType w:val="hybridMultilevel"/>
    <w:tmpl w:val="182246F4"/>
    <w:lvl w:ilvl="0" w:tplc="BC5E0C1E">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D396366"/>
    <w:multiLevelType w:val="hybridMultilevel"/>
    <w:tmpl w:val="74321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462745"/>
    <w:multiLevelType w:val="hybridMultilevel"/>
    <w:tmpl w:val="9ADC7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51C96"/>
    <w:multiLevelType w:val="hybridMultilevel"/>
    <w:tmpl w:val="B02622BA"/>
    <w:lvl w:ilvl="0" w:tplc="5A1A01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580177"/>
    <w:multiLevelType w:val="hybridMultilevel"/>
    <w:tmpl w:val="45461F10"/>
    <w:lvl w:ilvl="0" w:tplc="562A08BA">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63A10FC"/>
    <w:multiLevelType w:val="hybridMultilevel"/>
    <w:tmpl w:val="6AA25B7E"/>
    <w:lvl w:ilvl="0" w:tplc="BE22C79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F8671B"/>
    <w:multiLevelType w:val="hybridMultilevel"/>
    <w:tmpl w:val="69E288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295EA5"/>
    <w:multiLevelType w:val="hybridMultilevel"/>
    <w:tmpl w:val="334AF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6"/>
  </w:num>
  <w:num w:numId="5">
    <w:abstractNumId w:val="11"/>
  </w:num>
  <w:num w:numId="6">
    <w:abstractNumId w:val="1"/>
  </w:num>
  <w:num w:numId="7">
    <w:abstractNumId w:val="8"/>
  </w:num>
  <w:num w:numId="8">
    <w:abstractNumId w:val="4"/>
  </w:num>
  <w:num w:numId="9">
    <w:abstractNumId w:val="5"/>
  </w:num>
  <w:num w:numId="10">
    <w:abstractNumId w:val="7"/>
  </w:num>
  <w:num w:numId="11">
    <w:abstractNumId w:val="3"/>
  </w:num>
  <w:num w:numId="1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bQ0MzC0NDIwNLMwMzRT0lEKTi0uzszPAykwrgUAeCOx1ywAAAA="/>
  </w:docVars>
  <w:rsids>
    <w:rsidRoot w:val="00A858F7"/>
    <w:rsid w:val="00000082"/>
    <w:rsid w:val="00000591"/>
    <w:rsid w:val="00000E23"/>
    <w:rsid w:val="00001AD5"/>
    <w:rsid w:val="00002449"/>
    <w:rsid w:val="00004160"/>
    <w:rsid w:val="00004BB6"/>
    <w:rsid w:val="00005A1B"/>
    <w:rsid w:val="00006E8E"/>
    <w:rsid w:val="00007FE3"/>
    <w:rsid w:val="000132C1"/>
    <w:rsid w:val="00014A0C"/>
    <w:rsid w:val="000166DC"/>
    <w:rsid w:val="0002002D"/>
    <w:rsid w:val="0002034F"/>
    <w:rsid w:val="000231BA"/>
    <w:rsid w:val="00023B6E"/>
    <w:rsid w:val="00025822"/>
    <w:rsid w:val="00025DDC"/>
    <w:rsid w:val="0003043A"/>
    <w:rsid w:val="00032596"/>
    <w:rsid w:val="00034129"/>
    <w:rsid w:val="00035ACE"/>
    <w:rsid w:val="00037168"/>
    <w:rsid w:val="00037579"/>
    <w:rsid w:val="00043C4A"/>
    <w:rsid w:val="00043D9E"/>
    <w:rsid w:val="00047964"/>
    <w:rsid w:val="000506B7"/>
    <w:rsid w:val="0005203D"/>
    <w:rsid w:val="0005318A"/>
    <w:rsid w:val="00053362"/>
    <w:rsid w:val="00053374"/>
    <w:rsid w:val="00054962"/>
    <w:rsid w:val="00054F89"/>
    <w:rsid w:val="00055D85"/>
    <w:rsid w:val="0006097D"/>
    <w:rsid w:val="000611AC"/>
    <w:rsid w:val="00061236"/>
    <w:rsid w:val="00062A28"/>
    <w:rsid w:val="00064D76"/>
    <w:rsid w:val="00065E76"/>
    <w:rsid w:val="00066DD3"/>
    <w:rsid w:val="00067EA7"/>
    <w:rsid w:val="000715BF"/>
    <w:rsid w:val="00071B48"/>
    <w:rsid w:val="0007321D"/>
    <w:rsid w:val="00073237"/>
    <w:rsid w:val="0007542B"/>
    <w:rsid w:val="00081DF1"/>
    <w:rsid w:val="0008333F"/>
    <w:rsid w:val="000838E3"/>
    <w:rsid w:val="0008428A"/>
    <w:rsid w:val="00084454"/>
    <w:rsid w:val="0009093A"/>
    <w:rsid w:val="000923DD"/>
    <w:rsid w:val="000950E7"/>
    <w:rsid w:val="000967DD"/>
    <w:rsid w:val="000A025D"/>
    <w:rsid w:val="000A0668"/>
    <w:rsid w:val="000A0A27"/>
    <w:rsid w:val="000A19AB"/>
    <w:rsid w:val="000A3E2B"/>
    <w:rsid w:val="000A407D"/>
    <w:rsid w:val="000A5BE5"/>
    <w:rsid w:val="000A6011"/>
    <w:rsid w:val="000A6645"/>
    <w:rsid w:val="000A6C94"/>
    <w:rsid w:val="000A6E8B"/>
    <w:rsid w:val="000A7E92"/>
    <w:rsid w:val="000B0FA2"/>
    <w:rsid w:val="000B1638"/>
    <w:rsid w:val="000B2A48"/>
    <w:rsid w:val="000B32D3"/>
    <w:rsid w:val="000B35BB"/>
    <w:rsid w:val="000B4052"/>
    <w:rsid w:val="000B5EB0"/>
    <w:rsid w:val="000B6904"/>
    <w:rsid w:val="000B6C74"/>
    <w:rsid w:val="000B7077"/>
    <w:rsid w:val="000C09E3"/>
    <w:rsid w:val="000C16AC"/>
    <w:rsid w:val="000C21DD"/>
    <w:rsid w:val="000C29B9"/>
    <w:rsid w:val="000C2D06"/>
    <w:rsid w:val="000C3FE7"/>
    <w:rsid w:val="000C4BBA"/>
    <w:rsid w:val="000C4F8F"/>
    <w:rsid w:val="000C78A0"/>
    <w:rsid w:val="000C7F55"/>
    <w:rsid w:val="000D003C"/>
    <w:rsid w:val="000D141B"/>
    <w:rsid w:val="000D1923"/>
    <w:rsid w:val="000D27B2"/>
    <w:rsid w:val="000D3C05"/>
    <w:rsid w:val="000D5F6A"/>
    <w:rsid w:val="000D7F71"/>
    <w:rsid w:val="000E031C"/>
    <w:rsid w:val="000E0619"/>
    <w:rsid w:val="000E0B65"/>
    <w:rsid w:val="000E0C25"/>
    <w:rsid w:val="000E14DB"/>
    <w:rsid w:val="000E33E6"/>
    <w:rsid w:val="000E48FA"/>
    <w:rsid w:val="000E4C13"/>
    <w:rsid w:val="000E4E75"/>
    <w:rsid w:val="000E599B"/>
    <w:rsid w:val="000E5E92"/>
    <w:rsid w:val="000F00A4"/>
    <w:rsid w:val="000F1DE0"/>
    <w:rsid w:val="000F313A"/>
    <w:rsid w:val="000F45F5"/>
    <w:rsid w:val="000F6159"/>
    <w:rsid w:val="000F641C"/>
    <w:rsid w:val="000F7E4A"/>
    <w:rsid w:val="001005B8"/>
    <w:rsid w:val="00100F84"/>
    <w:rsid w:val="001013C2"/>
    <w:rsid w:val="00102F73"/>
    <w:rsid w:val="00105757"/>
    <w:rsid w:val="001125D4"/>
    <w:rsid w:val="00112636"/>
    <w:rsid w:val="0011320B"/>
    <w:rsid w:val="00113458"/>
    <w:rsid w:val="00114645"/>
    <w:rsid w:val="00114D3B"/>
    <w:rsid w:val="00115A42"/>
    <w:rsid w:val="00120421"/>
    <w:rsid w:val="00120DC7"/>
    <w:rsid w:val="0012192D"/>
    <w:rsid w:val="001221DC"/>
    <w:rsid w:val="001257CD"/>
    <w:rsid w:val="0012641C"/>
    <w:rsid w:val="00126ACA"/>
    <w:rsid w:val="00126B88"/>
    <w:rsid w:val="0012756B"/>
    <w:rsid w:val="00132268"/>
    <w:rsid w:val="00132D64"/>
    <w:rsid w:val="001346BD"/>
    <w:rsid w:val="00134B66"/>
    <w:rsid w:val="001363F5"/>
    <w:rsid w:val="001377AD"/>
    <w:rsid w:val="00140081"/>
    <w:rsid w:val="00140942"/>
    <w:rsid w:val="0014109F"/>
    <w:rsid w:val="00145429"/>
    <w:rsid w:val="001505F1"/>
    <w:rsid w:val="0015129D"/>
    <w:rsid w:val="00151542"/>
    <w:rsid w:val="001524A5"/>
    <w:rsid w:val="0015297F"/>
    <w:rsid w:val="00153449"/>
    <w:rsid w:val="00156426"/>
    <w:rsid w:val="00156FD7"/>
    <w:rsid w:val="0015710C"/>
    <w:rsid w:val="0016080B"/>
    <w:rsid w:val="00161016"/>
    <w:rsid w:val="0016271F"/>
    <w:rsid w:val="00163102"/>
    <w:rsid w:val="001632D6"/>
    <w:rsid w:val="00164AED"/>
    <w:rsid w:val="00166175"/>
    <w:rsid w:val="00170A14"/>
    <w:rsid w:val="00171329"/>
    <w:rsid w:val="001718E6"/>
    <w:rsid w:val="00172BB2"/>
    <w:rsid w:val="00172CC9"/>
    <w:rsid w:val="00174D1B"/>
    <w:rsid w:val="00180791"/>
    <w:rsid w:val="00181A29"/>
    <w:rsid w:val="001850B5"/>
    <w:rsid w:val="00187C04"/>
    <w:rsid w:val="001907AD"/>
    <w:rsid w:val="00190A84"/>
    <w:rsid w:val="00191C6F"/>
    <w:rsid w:val="00191D78"/>
    <w:rsid w:val="00191E63"/>
    <w:rsid w:val="001961E7"/>
    <w:rsid w:val="0019740C"/>
    <w:rsid w:val="001A073F"/>
    <w:rsid w:val="001A08AC"/>
    <w:rsid w:val="001A197C"/>
    <w:rsid w:val="001A2496"/>
    <w:rsid w:val="001A2D38"/>
    <w:rsid w:val="001A514C"/>
    <w:rsid w:val="001A59D4"/>
    <w:rsid w:val="001B0EEC"/>
    <w:rsid w:val="001B17C1"/>
    <w:rsid w:val="001B20E8"/>
    <w:rsid w:val="001C0E13"/>
    <w:rsid w:val="001C1648"/>
    <w:rsid w:val="001C35FA"/>
    <w:rsid w:val="001C5E18"/>
    <w:rsid w:val="001C625D"/>
    <w:rsid w:val="001C7151"/>
    <w:rsid w:val="001C73AD"/>
    <w:rsid w:val="001D0900"/>
    <w:rsid w:val="001D0933"/>
    <w:rsid w:val="001D1D47"/>
    <w:rsid w:val="001D1F57"/>
    <w:rsid w:val="001D3DFC"/>
    <w:rsid w:val="001D4535"/>
    <w:rsid w:val="001D478F"/>
    <w:rsid w:val="001D5299"/>
    <w:rsid w:val="001D780A"/>
    <w:rsid w:val="001E2F87"/>
    <w:rsid w:val="001E3B94"/>
    <w:rsid w:val="001E455C"/>
    <w:rsid w:val="001E5935"/>
    <w:rsid w:val="001F08A7"/>
    <w:rsid w:val="001F173E"/>
    <w:rsid w:val="001F6008"/>
    <w:rsid w:val="001F60F9"/>
    <w:rsid w:val="001F64CA"/>
    <w:rsid w:val="002002C4"/>
    <w:rsid w:val="00200E18"/>
    <w:rsid w:val="002028F0"/>
    <w:rsid w:val="002038DC"/>
    <w:rsid w:val="00203C7A"/>
    <w:rsid w:val="00204B01"/>
    <w:rsid w:val="00205789"/>
    <w:rsid w:val="00206422"/>
    <w:rsid w:val="002101E8"/>
    <w:rsid w:val="00210301"/>
    <w:rsid w:val="002112A9"/>
    <w:rsid w:val="002114F0"/>
    <w:rsid w:val="00211961"/>
    <w:rsid w:val="00213D7F"/>
    <w:rsid w:val="00213E33"/>
    <w:rsid w:val="002155C8"/>
    <w:rsid w:val="00215978"/>
    <w:rsid w:val="00215F96"/>
    <w:rsid w:val="00216270"/>
    <w:rsid w:val="00216354"/>
    <w:rsid w:val="002203AB"/>
    <w:rsid w:val="00221F16"/>
    <w:rsid w:val="00222407"/>
    <w:rsid w:val="00222589"/>
    <w:rsid w:val="00223F08"/>
    <w:rsid w:val="0022474E"/>
    <w:rsid w:val="00224D98"/>
    <w:rsid w:val="002269D9"/>
    <w:rsid w:val="00226E94"/>
    <w:rsid w:val="002270AB"/>
    <w:rsid w:val="00230521"/>
    <w:rsid w:val="00231494"/>
    <w:rsid w:val="002317D7"/>
    <w:rsid w:val="00231C54"/>
    <w:rsid w:val="002328A0"/>
    <w:rsid w:val="0023375C"/>
    <w:rsid w:val="00234BCB"/>
    <w:rsid w:val="00235687"/>
    <w:rsid w:val="0023605E"/>
    <w:rsid w:val="00237AFF"/>
    <w:rsid w:val="00242890"/>
    <w:rsid w:val="00243A0B"/>
    <w:rsid w:val="002449FC"/>
    <w:rsid w:val="002460D0"/>
    <w:rsid w:val="00250DF3"/>
    <w:rsid w:val="00251D2A"/>
    <w:rsid w:val="002534C8"/>
    <w:rsid w:val="00253A8A"/>
    <w:rsid w:val="002541B7"/>
    <w:rsid w:val="00254CAF"/>
    <w:rsid w:val="002550A1"/>
    <w:rsid w:val="0025622D"/>
    <w:rsid w:val="0025622F"/>
    <w:rsid w:val="0025626D"/>
    <w:rsid w:val="0025657A"/>
    <w:rsid w:val="00256CFD"/>
    <w:rsid w:val="00256F9E"/>
    <w:rsid w:val="002667B0"/>
    <w:rsid w:val="00266F84"/>
    <w:rsid w:val="00270922"/>
    <w:rsid w:val="00274B56"/>
    <w:rsid w:val="002758D6"/>
    <w:rsid w:val="002761BA"/>
    <w:rsid w:val="0028011C"/>
    <w:rsid w:val="002808F6"/>
    <w:rsid w:val="00292DE2"/>
    <w:rsid w:val="0029312E"/>
    <w:rsid w:val="00295E90"/>
    <w:rsid w:val="00296EC7"/>
    <w:rsid w:val="00297395"/>
    <w:rsid w:val="002A011D"/>
    <w:rsid w:val="002A03AC"/>
    <w:rsid w:val="002A0B19"/>
    <w:rsid w:val="002A0BBF"/>
    <w:rsid w:val="002A18C0"/>
    <w:rsid w:val="002A1BD0"/>
    <w:rsid w:val="002A2B95"/>
    <w:rsid w:val="002A2D76"/>
    <w:rsid w:val="002A2F85"/>
    <w:rsid w:val="002A35FE"/>
    <w:rsid w:val="002A64A0"/>
    <w:rsid w:val="002A66A5"/>
    <w:rsid w:val="002A7480"/>
    <w:rsid w:val="002A75E4"/>
    <w:rsid w:val="002B0D93"/>
    <w:rsid w:val="002B0E5A"/>
    <w:rsid w:val="002B1D5E"/>
    <w:rsid w:val="002B25CA"/>
    <w:rsid w:val="002B297D"/>
    <w:rsid w:val="002B5646"/>
    <w:rsid w:val="002B5CCA"/>
    <w:rsid w:val="002B5F65"/>
    <w:rsid w:val="002B6A0B"/>
    <w:rsid w:val="002B6C2A"/>
    <w:rsid w:val="002B7289"/>
    <w:rsid w:val="002B7AA2"/>
    <w:rsid w:val="002C33C5"/>
    <w:rsid w:val="002C4035"/>
    <w:rsid w:val="002C5486"/>
    <w:rsid w:val="002C59F1"/>
    <w:rsid w:val="002C5FF6"/>
    <w:rsid w:val="002C67C5"/>
    <w:rsid w:val="002C6879"/>
    <w:rsid w:val="002D0EF6"/>
    <w:rsid w:val="002D2AC1"/>
    <w:rsid w:val="002D5FDF"/>
    <w:rsid w:val="002D725F"/>
    <w:rsid w:val="002E0ABA"/>
    <w:rsid w:val="002E18B1"/>
    <w:rsid w:val="002E1D3F"/>
    <w:rsid w:val="002E43F5"/>
    <w:rsid w:val="002E46F9"/>
    <w:rsid w:val="002E6ED7"/>
    <w:rsid w:val="002E7B13"/>
    <w:rsid w:val="002F142E"/>
    <w:rsid w:val="002F1FEE"/>
    <w:rsid w:val="002F2AC0"/>
    <w:rsid w:val="002F35CA"/>
    <w:rsid w:val="002F3979"/>
    <w:rsid w:val="002F44DA"/>
    <w:rsid w:val="002F61E8"/>
    <w:rsid w:val="002F736B"/>
    <w:rsid w:val="002F7C8D"/>
    <w:rsid w:val="00300101"/>
    <w:rsid w:val="0030395E"/>
    <w:rsid w:val="00305FEC"/>
    <w:rsid w:val="003066DA"/>
    <w:rsid w:val="003109B9"/>
    <w:rsid w:val="0031119E"/>
    <w:rsid w:val="00313038"/>
    <w:rsid w:val="0031557F"/>
    <w:rsid w:val="00316A9F"/>
    <w:rsid w:val="00316D72"/>
    <w:rsid w:val="00320538"/>
    <w:rsid w:val="0032309C"/>
    <w:rsid w:val="003241A7"/>
    <w:rsid w:val="00326239"/>
    <w:rsid w:val="00331161"/>
    <w:rsid w:val="00340138"/>
    <w:rsid w:val="00341EA7"/>
    <w:rsid w:val="003432D6"/>
    <w:rsid w:val="00345763"/>
    <w:rsid w:val="00346CF8"/>
    <w:rsid w:val="00347A22"/>
    <w:rsid w:val="00350152"/>
    <w:rsid w:val="00351969"/>
    <w:rsid w:val="00352288"/>
    <w:rsid w:val="003528BA"/>
    <w:rsid w:val="00353068"/>
    <w:rsid w:val="00353C6B"/>
    <w:rsid w:val="00354825"/>
    <w:rsid w:val="00355988"/>
    <w:rsid w:val="003565BC"/>
    <w:rsid w:val="00356FE3"/>
    <w:rsid w:val="00360195"/>
    <w:rsid w:val="003621B7"/>
    <w:rsid w:val="003645E9"/>
    <w:rsid w:val="00365013"/>
    <w:rsid w:val="003661BB"/>
    <w:rsid w:val="00370EA7"/>
    <w:rsid w:val="003723CF"/>
    <w:rsid w:val="0037380C"/>
    <w:rsid w:val="00374D9F"/>
    <w:rsid w:val="0037506C"/>
    <w:rsid w:val="00375652"/>
    <w:rsid w:val="003761D1"/>
    <w:rsid w:val="00377388"/>
    <w:rsid w:val="00380949"/>
    <w:rsid w:val="003809CF"/>
    <w:rsid w:val="00381649"/>
    <w:rsid w:val="003822A0"/>
    <w:rsid w:val="00385DAE"/>
    <w:rsid w:val="00386A22"/>
    <w:rsid w:val="00387353"/>
    <w:rsid w:val="003902D3"/>
    <w:rsid w:val="0039064B"/>
    <w:rsid w:val="00391C13"/>
    <w:rsid w:val="003936DC"/>
    <w:rsid w:val="003944E8"/>
    <w:rsid w:val="00394E6B"/>
    <w:rsid w:val="0039578B"/>
    <w:rsid w:val="00397CB3"/>
    <w:rsid w:val="003A3BBC"/>
    <w:rsid w:val="003A54AD"/>
    <w:rsid w:val="003A6528"/>
    <w:rsid w:val="003A6EA3"/>
    <w:rsid w:val="003A7D76"/>
    <w:rsid w:val="003B0335"/>
    <w:rsid w:val="003B0811"/>
    <w:rsid w:val="003B0A9F"/>
    <w:rsid w:val="003B1417"/>
    <w:rsid w:val="003B37F7"/>
    <w:rsid w:val="003B3C7B"/>
    <w:rsid w:val="003B671B"/>
    <w:rsid w:val="003B675A"/>
    <w:rsid w:val="003B7E7B"/>
    <w:rsid w:val="003C2572"/>
    <w:rsid w:val="003C5733"/>
    <w:rsid w:val="003C622D"/>
    <w:rsid w:val="003C6F1F"/>
    <w:rsid w:val="003D03AA"/>
    <w:rsid w:val="003D05F9"/>
    <w:rsid w:val="003D06C6"/>
    <w:rsid w:val="003D251C"/>
    <w:rsid w:val="003D3717"/>
    <w:rsid w:val="003D3AD2"/>
    <w:rsid w:val="003D3E9D"/>
    <w:rsid w:val="003D5262"/>
    <w:rsid w:val="003D55BE"/>
    <w:rsid w:val="003D6CC9"/>
    <w:rsid w:val="003D717B"/>
    <w:rsid w:val="003D7998"/>
    <w:rsid w:val="003D7AAA"/>
    <w:rsid w:val="003E03A6"/>
    <w:rsid w:val="003E04AE"/>
    <w:rsid w:val="003E1E11"/>
    <w:rsid w:val="003E212A"/>
    <w:rsid w:val="003E2509"/>
    <w:rsid w:val="003E3385"/>
    <w:rsid w:val="003E45CA"/>
    <w:rsid w:val="003E4833"/>
    <w:rsid w:val="003E56DF"/>
    <w:rsid w:val="003E7D58"/>
    <w:rsid w:val="003F27E2"/>
    <w:rsid w:val="003F3784"/>
    <w:rsid w:val="003F3B12"/>
    <w:rsid w:val="003F532D"/>
    <w:rsid w:val="003F5453"/>
    <w:rsid w:val="003F6816"/>
    <w:rsid w:val="003F6B99"/>
    <w:rsid w:val="003F6BA3"/>
    <w:rsid w:val="003F6C10"/>
    <w:rsid w:val="00401604"/>
    <w:rsid w:val="0040179F"/>
    <w:rsid w:val="004028A9"/>
    <w:rsid w:val="00404A6E"/>
    <w:rsid w:val="0040533B"/>
    <w:rsid w:val="004074B8"/>
    <w:rsid w:val="0041030B"/>
    <w:rsid w:val="00413200"/>
    <w:rsid w:val="00414571"/>
    <w:rsid w:val="0041573E"/>
    <w:rsid w:val="0041631B"/>
    <w:rsid w:val="0042097E"/>
    <w:rsid w:val="004227ED"/>
    <w:rsid w:val="0042349A"/>
    <w:rsid w:val="004234E5"/>
    <w:rsid w:val="00423E05"/>
    <w:rsid w:val="00426749"/>
    <w:rsid w:val="004267CC"/>
    <w:rsid w:val="00427122"/>
    <w:rsid w:val="0042774B"/>
    <w:rsid w:val="00431AE4"/>
    <w:rsid w:val="004328E0"/>
    <w:rsid w:val="00433DC2"/>
    <w:rsid w:val="00433FC4"/>
    <w:rsid w:val="004359AC"/>
    <w:rsid w:val="0044110C"/>
    <w:rsid w:val="0044303F"/>
    <w:rsid w:val="004435D2"/>
    <w:rsid w:val="00443B3F"/>
    <w:rsid w:val="00445233"/>
    <w:rsid w:val="004458A8"/>
    <w:rsid w:val="004502A2"/>
    <w:rsid w:val="00451060"/>
    <w:rsid w:val="00453F2A"/>
    <w:rsid w:val="004549C3"/>
    <w:rsid w:val="00455086"/>
    <w:rsid w:val="00456F16"/>
    <w:rsid w:val="00460334"/>
    <w:rsid w:val="00460CF1"/>
    <w:rsid w:val="004613EC"/>
    <w:rsid w:val="004623E4"/>
    <w:rsid w:val="00462F38"/>
    <w:rsid w:val="00462FAF"/>
    <w:rsid w:val="00464120"/>
    <w:rsid w:val="00464244"/>
    <w:rsid w:val="004646D5"/>
    <w:rsid w:val="00464824"/>
    <w:rsid w:val="004703A3"/>
    <w:rsid w:val="00471505"/>
    <w:rsid w:val="0047246F"/>
    <w:rsid w:val="00472786"/>
    <w:rsid w:val="00472B92"/>
    <w:rsid w:val="00473A13"/>
    <w:rsid w:val="00476922"/>
    <w:rsid w:val="0048091F"/>
    <w:rsid w:val="00480F1F"/>
    <w:rsid w:val="004836C1"/>
    <w:rsid w:val="004866F7"/>
    <w:rsid w:val="00487C7E"/>
    <w:rsid w:val="0049049A"/>
    <w:rsid w:val="00490A52"/>
    <w:rsid w:val="00494888"/>
    <w:rsid w:val="004948B1"/>
    <w:rsid w:val="00497FF3"/>
    <w:rsid w:val="004A1D03"/>
    <w:rsid w:val="004A2995"/>
    <w:rsid w:val="004A3ACF"/>
    <w:rsid w:val="004A3C60"/>
    <w:rsid w:val="004A43E0"/>
    <w:rsid w:val="004A531E"/>
    <w:rsid w:val="004A5478"/>
    <w:rsid w:val="004A55F2"/>
    <w:rsid w:val="004A6532"/>
    <w:rsid w:val="004B01EC"/>
    <w:rsid w:val="004B049B"/>
    <w:rsid w:val="004B0D61"/>
    <w:rsid w:val="004B21BD"/>
    <w:rsid w:val="004B4E43"/>
    <w:rsid w:val="004B502D"/>
    <w:rsid w:val="004B5D10"/>
    <w:rsid w:val="004B6D3A"/>
    <w:rsid w:val="004B7D94"/>
    <w:rsid w:val="004B7DE2"/>
    <w:rsid w:val="004C1E32"/>
    <w:rsid w:val="004C292C"/>
    <w:rsid w:val="004C54DE"/>
    <w:rsid w:val="004C7C88"/>
    <w:rsid w:val="004D19EE"/>
    <w:rsid w:val="004D30A6"/>
    <w:rsid w:val="004D33F9"/>
    <w:rsid w:val="004D4645"/>
    <w:rsid w:val="004D770C"/>
    <w:rsid w:val="004D78DF"/>
    <w:rsid w:val="004E016E"/>
    <w:rsid w:val="004E0714"/>
    <w:rsid w:val="004E3150"/>
    <w:rsid w:val="004E3D22"/>
    <w:rsid w:val="004E3D9C"/>
    <w:rsid w:val="004E3E9C"/>
    <w:rsid w:val="004E52D3"/>
    <w:rsid w:val="004E58E7"/>
    <w:rsid w:val="004E6805"/>
    <w:rsid w:val="004F0970"/>
    <w:rsid w:val="004F3D39"/>
    <w:rsid w:val="004F635A"/>
    <w:rsid w:val="004F6525"/>
    <w:rsid w:val="004F706D"/>
    <w:rsid w:val="004F7D2D"/>
    <w:rsid w:val="005007C8"/>
    <w:rsid w:val="005009E4"/>
    <w:rsid w:val="00500A0B"/>
    <w:rsid w:val="0050149B"/>
    <w:rsid w:val="0050320E"/>
    <w:rsid w:val="00503B8E"/>
    <w:rsid w:val="00503CC1"/>
    <w:rsid w:val="00505326"/>
    <w:rsid w:val="00506AB6"/>
    <w:rsid w:val="00506E97"/>
    <w:rsid w:val="00507330"/>
    <w:rsid w:val="005078EF"/>
    <w:rsid w:val="005079AD"/>
    <w:rsid w:val="0051011B"/>
    <w:rsid w:val="0051034E"/>
    <w:rsid w:val="00510730"/>
    <w:rsid w:val="00511757"/>
    <w:rsid w:val="0051255B"/>
    <w:rsid w:val="005130C6"/>
    <w:rsid w:val="0051446F"/>
    <w:rsid w:val="005148D9"/>
    <w:rsid w:val="005151D4"/>
    <w:rsid w:val="005165D0"/>
    <w:rsid w:val="00521324"/>
    <w:rsid w:val="005216F4"/>
    <w:rsid w:val="0052178C"/>
    <w:rsid w:val="00522C58"/>
    <w:rsid w:val="00522ECB"/>
    <w:rsid w:val="00524A56"/>
    <w:rsid w:val="00525B1C"/>
    <w:rsid w:val="00527857"/>
    <w:rsid w:val="0053010F"/>
    <w:rsid w:val="00530B11"/>
    <w:rsid w:val="00530E04"/>
    <w:rsid w:val="005318EF"/>
    <w:rsid w:val="005320B1"/>
    <w:rsid w:val="005335C0"/>
    <w:rsid w:val="0053394C"/>
    <w:rsid w:val="00534E3F"/>
    <w:rsid w:val="00537256"/>
    <w:rsid w:val="00537F0E"/>
    <w:rsid w:val="00540B8C"/>
    <w:rsid w:val="0054103B"/>
    <w:rsid w:val="00541A8C"/>
    <w:rsid w:val="00542161"/>
    <w:rsid w:val="005423EC"/>
    <w:rsid w:val="005425A1"/>
    <w:rsid w:val="00543C65"/>
    <w:rsid w:val="00544156"/>
    <w:rsid w:val="00550F20"/>
    <w:rsid w:val="00552FEF"/>
    <w:rsid w:val="005532DC"/>
    <w:rsid w:val="00553EE2"/>
    <w:rsid w:val="00553FCE"/>
    <w:rsid w:val="00554A08"/>
    <w:rsid w:val="00557493"/>
    <w:rsid w:val="00560A7C"/>
    <w:rsid w:val="0056430A"/>
    <w:rsid w:val="005658EC"/>
    <w:rsid w:val="00572A59"/>
    <w:rsid w:val="00575C11"/>
    <w:rsid w:val="00580992"/>
    <w:rsid w:val="00580B7D"/>
    <w:rsid w:val="005819DC"/>
    <w:rsid w:val="0058466F"/>
    <w:rsid w:val="00584767"/>
    <w:rsid w:val="0059239B"/>
    <w:rsid w:val="00594940"/>
    <w:rsid w:val="00595E42"/>
    <w:rsid w:val="00596431"/>
    <w:rsid w:val="00596840"/>
    <w:rsid w:val="005968AA"/>
    <w:rsid w:val="00596946"/>
    <w:rsid w:val="005971B2"/>
    <w:rsid w:val="005A09AC"/>
    <w:rsid w:val="005A1A92"/>
    <w:rsid w:val="005A2108"/>
    <w:rsid w:val="005A5899"/>
    <w:rsid w:val="005A680E"/>
    <w:rsid w:val="005A710F"/>
    <w:rsid w:val="005A72D7"/>
    <w:rsid w:val="005B2B23"/>
    <w:rsid w:val="005B35E6"/>
    <w:rsid w:val="005B53EC"/>
    <w:rsid w:val="005B59D0"/>
    <w:rsid w:val="005B6902"/>
    <w:rsid w:val="005B6E23"/>
    <w:rsid w:val="005B7E49"/>
    <w:rsid w:val="005C0947"/>
    <w:rsid w:val="005C1594"/>
    <w:rsid w:val="005C15D3"/>
    <w:rsid w:val="005C1B28"/>
    <w:rsid w:val="005C2D58"/>
    <w:rsid w:val="005C3D53"/>
    <w:rsid w:val="005C45BC"/>
    <w:rsid w:val="005C4749"/>
    <w:rsid w:val="005C5790"/>
    <w:rsid w:val="005C5B2C"/>
    <w:rsid w:val="005C7228"/>
    <w:rsid w:val="005C7436"/>
    <w:rsid w:val="005C76CD"/>
    <w:rsid w:val="005D02A7"/>
    <w:rsid w:val="005D0368"/>
    <w:rsid w:val="005D0527"/>
    <w:rsid w:val="005D2C09"/>
    <w:rsid w:val="005D34F3"/>
    <w:rsid w:val="005D3F39"/>
    <w:rsid w:val="005D4882"/>
    <w:rsid w:val="005D49A7"/>
    <w:rsid w:val="005D4C60"/>
    <w:rsid w:val="005D4E1F"/>
    <w:rsid w:val="005D516B"/>
    <w:rsid w:val="005D57E5"/>
    <w:rsid w:val="005D7432"/>
    <w:rsid w:val="005E11CE"/>
    <w:rsid w:val="005E2E81"/>
    <w:rsid w:val="005E3E89"/>
    <w:rsid w:val="005E4352"/>
    <w:rsid w:val="005E45FF"/>
    <w:rsid w:val="005E476C"/>
    <w:rsid w:val="005E5204"/>
    <w:rsid w:val="005E5C91"/>
    <w:rsid w:val="005E7855"/>
    <w:rsid w:val="005F019E"/>
    <w:rsid w:val="005F12E7"/>
    <w:rsid w:val="005F1D7A"/>
    <w:rsid w:val="005F425A"/>
    <w:rsid w:val="005F461F"/>
    <w:rsid w:val="005F53A4"/>
    <w:rsid w:val="005F54CF"/>
    <w:rsid w:val="005F5D8F"/>
    <w:rsid w:val="005F6DE4"/>
    <w:rsid w:val="005F6E3F"/>
    <w:rsid w:val="005F7B06"/>
    <w:rsid w:val="006014A5"/>
    <w:rsid w:val="006022DB"/>
    <w:rsid w:val="006023CF"/>
    <w:rsid w:val="006040E9"/>
    <w:rsid w:val="006045A9"/>
    <w:rsid w:val="00605294"/>
    <w:rsid w:val="006061BF"/>
    <w:rsid w:val="00607E31"/>
    <w:rsid w:val="00612450"/>
    <w:rsid w:val="00612569"/>
    <w:rsid w:val="0061296C"/>
    <w:rsid w:val="0061469C"/>
    <w:rsid w:val="0061595B"/>
    <w:rsid w:val="006167D9"/>
    <w:rsid w:val="00617667"/>
    <w:rsid w:val="00617984"/>
    <w:rsid w:val="00622ECE"/>
    <w:rsid w:val="00622F4D"/>
    <w:rsid w:val="00623492"/>
    <w:rsid w:val="006234A4"/>
    <w:rsid w:val="00623671"/>
    <w:rsid w:val="00625E29"/>
    <w:rsid w:val="00626673"/>
    <w:rsid w:val="00626B1A"/>
    <w:rsid w:val="006302B1"/>
    <w:rsid w:val="00631087"/>
    <w:rsid w:val="006320D3"/>
    <w:rsid w:val="00633621"/>
    <w:rsid w:val="006339F0"/>
    <w:rsid w:val="00634B95"/>
    <w:rsid w:val="00637394"/>
    <w:rsid w:val="00637D79"/>
    <w:rsid w:val="00644F73"/>
    <w:rsid w:val="00645948"/>
    <w:rsid w:val="00646EE2"/>
    <w:rsid w:val="00647747"/>
    <w:rsid w:val="00647D69"/>
    <w:rsid w:val="0065140A"/>
    <w:rsid w:val="00651B97"/>
    <w:rsid w:val="00653728"/>
    <w:rsid w:val="00653A82"/>
    <w:rsid w:val="00653E15"/>
    <w:rsid w:val="00655004"/>
    <w:rsid w:val="006556F6"/>
    <w:rsid w:val="00656DC7"/>
    <w:rsid w:val="006570CA"/>
    <w:rsid w:val="006609B1"/>
    <w:rsid w:val="00660FE8"/>
    <w:rsid w:val="00661192"/>
    <w:rsid w:val="0066172B"/>
    <w:rsid w:val="0066463B"/>
    <w:rsid w:val="00664CB6"/>
    <w:rsid w:val="00664D00"/>
    <w:rsid w:val="00666A7D"/>
    <w:rsid w:val="00666C22"/>
    <w:rsid w:val="00667F70"/>
    <w:rsid w:val="00670D10"/>
    <w:rsid w:val="00671405"/>
    <w:rsid w:val="00673188"/>
    <w:rsid w:val="006731FE"/>
    <w:rsid w:val="0067407F"/>
    <w:rsid w:val="0067576E"/>
    <w:rsid w:val="0068107E"/>
    <w:rsid w:val="00682CB2"/>
    <w:rsid w:val="0068320B"/>
    <w:rsid w:val="00683242"/>
    <w:rsid w:val="00684B6E"/>
    <w:rsid w:val="00685894"/>
    <w:rsid w:val="00685D39"/>
    <w:rsid w:val="00685EF2"/>
    <w:rsid w:val="006900CC"/>
    <w:rsid w:val="0069122D"/>
    <w:rsid w:val="00691867"/>
    <w:rsid w:val="00692513"/>
    <w:rsid w:val="00696D79"/>
    <w:rsid w:val="00697825"/>
    <w:rsid w:val="006A0626"/>
    <w:rsid w:val="006A06E7"/>
    <w:rsid w:val="006A1357"/>
    <w:rsid w:val="006A142D"/>
    <w:rsid w:val="006A568B"/>
    <w:rsid w:val="006A62C5"/>
    <w:rsid w:val="006B1173"/>
    <w:rsid w:val="006B1F12"/>
    <w:rsid w:val="006B2BCB"/>
    <w:rsid w:val="006B3966"/>
    <w:rsid w:val="006B619D"/>
    <w:rsid w:val="006B67BF"/>
    <w:rsid w:val="006B6AEB"/>
    <w:rsid w:val="006B780C"/>
    <w:rsid w:val="006C0712"/>
    <w:rsid w:val="006C117C"/>
    <w:rsid w:val="006C3375"/>
    <w:rsid w:val="006C48CA"/>
    <w:rsid w:val="006C4EF7"/>
    <w:rsid w:val="006C53D6"/>
    <w:rsid w:val="006C7D90"/>
    <w:rsid w:val="006D0151"/>
    <w:rsid w:val="006D038D"/>
    <w:rsid w:val="006D0D90"/>
    <w:rsid w:val="006D5B61"/>
    <w:rsid w:val="006D75DA"/>
    <w:rsid w:val="006E0AD7"/>
    <w:rsid w:val="006E0D93"/>
    <w:rsid w:val="006E3090"/>
    <w:rsid w:val="006E30E2"/>
    <w:rsid w:val="006E3CB6"/>
    <w:rsid w:val="006E420C"/>
    <w:rsid w:val="006E43C1"/>
    <w:rsid w:val="006E595C"/>
    <w:rsid w:val="006E5AA0"/>
    <w:rsid w:val="006E7165"/>
    <w:rsid w:val="006E7675"/>
    <w:rsid w:val="006E799E"/>
    <w:rsid w:val="006E7F3F"/>
    <w:rsid w:val="006F0543"/>
    <w:rsid w:val="006F1CE3"/>
    <w:rsid w:val="006F4323"/>
    <w:rsid w:val="006F4A78"/>
    <w:rsid w:val="006F6A9B"/>
    <w:rsid w:val="006F791E"/>
    <w:rsid w:val="006F7DBE"/>
    <w:rsid w:val="007007DE"/>
    <w:rsid w:val="00700A5D"/>
    <w:rsid w:val="00700E5F"/>
    <w:rsid w:val="0070152D"/>
    <w:rsid w:val="007015CD"/>
    <w:rsid w:val="007037C0"/>
    <w:rsid w:val="00703C10"/>
    <w:rsid w:val="007051C0"/>
    <w:rsid w:val="007053A5"/>
    <w:rsid w:val="00705521"/>
    <w:rsid w:val="007061CD"/>
    <w:rsid w:val="0070656A"/>
    <w:rsid w:val="00710C3C"/>
    <w:rsid w:val="00711079"/>
    <w:rsid w:val="00711EB8"/>
    <w:rsid w:val="007125A5"/>
    <w:rsid w:val="0071378B"/>
    <w:rsid w:val="00715940"/>
    <w:rsid w:val="00716FEF"/>
    <w:rsid w:val="00723CE4"/>
    <w:rsid w:val="00726032"/>
    <w:rsid w:val="0073025A"/>
    <w:rsid w:val="00730833"/>
    <w:rsid w:val="007308A1"/>
    <w:rsid w:val="00733158"/>
    <w:rsid w:val="00734698"/>
    <w:rsid w:val="0073499E"/>
    <w:rsid w:val="00735127"/>
    <w:rsid w:val="00737D34"/>
    <w:rsid w:val="00737FA4"/>
    <w:rsid w:val="00740496"/>
    <w:rsid w:val="00740A01"/>
    <w:rsid w:val="00741F15"/>
    <w:rsid w:val="00742534"/>
    <w:rsid w:val="00742A82"/>
    <w:rsid w:val="007432AF"/>
    <w:rsid w:val="00743839"/>
    <w:rsid w:val="00743F8C"/>
    <w:rsid w:val="007440C9"/>
    <w:rsid w:val="00745512"/>
    <w:rsid w:val="0074607E"/>
    <w:rsid w:val="00746111"/>
    <w:rsid w:val="00747118"/>
    <w:rsid w:val="00751770"/>
    <w:rsid w:val="00751798"/>
    <w:rsid w:val="0075198D"/>
    <w:rsid w:val="00751A94"/>
    <w:rsid w:val="007541A9"/>
    <w:rsid w:val="00755A62"/>
    <w:rsid w:val="00755ADB"/>
    <w:rsid w:val="00756573"/>
    <w:rsid w:val="00756DFA"/>
    <w:rsid w:val="007573F1"/>
    <w:rsid w:val="0075757F"/>
    <w:rsid w:val="00757E64"/>
    <w:rsid w:val="007601B4"/>
    <w:rsid w:val="00760241"/>
    <w:rsid w:val="00760457"/>
    <w:rsid w:val="007625B6"/>
    <w:rsid w:val="007632B0"/>
    <w:rsid w:val="007643AD"/>
    <w:rsid w:val="00764B02"/>
    <w:rsid w:val="00764B60"/>
    <w:rsid w:val="007659B0"/>
    <w:rsid w:val="0076651E"/>
    <w:rsid w:val="007670F5"/>
    <w:rsid w:val="00771DB2"/>
    <w:rsid w:val="007726B9"/>
    <w:rsid w:val="00773309"/>
    <w:rsid w:val="0077411E"/>
    <w:rsid w:val="00774B5D"/>
    <w:rsid w:val="00776C5F"/>
    <w:rsid w:val="00776FCD"/>
    <w:rsid w:val="00777557"/>
    <w:rsid w:val="00782166"/>
    <w:rsid w:val="0078309F"/>
    <w:rsid w:val="00783FA3"/>
    <w:rsid w:val="00784C60"/>
    <w:rsid w:val="00791759"/>
    <w:rsid w:val="00791BFA"/>
    <w:rsid w:val="007933E9"/>
    <w:rsid w:val="0079373B"/>
    <w:rsid w:val="00794AE3"/>
    <w:rsid w:val="00796956"/>
    <w:rsid w:val="00796F0E"/>
    <w:rsid w:val="00797C18"/>
    <w:rsid w:val="007A0043"/>
    <w:rsid w:val="007A0562"/>
    <w:rsid w:val="007A08A7"/>
    <w:rsid w:val="007A1014"/>
    <w:rsid w:val="007A110D"/>
    <w:rsid w:val="007A1817"/>
    <w:rsid w:val="007A23CA"/>
    <w:rsid w:val="007A2D1C"/>
    <w:rsid w:val="007A3AD8"/>
    <w:rsid w:val="007A53A9"/>
    <w:rsid w:val="007A63F8"/>
    <w:rsid w:val="007A6520"/>
    <w:rsid w:val="007B0A67"/>
    <w:rsid w:val="007B10AE"/>
    <w:rsid w:val="007B140D"/>
    <w:rsid w:val="007B163E"/>
    <w:rsid w:val="007B2A2B"/>
    <w:rsid w:val="007B4C4E"/>
    <w:rsid w:val="007B523B"/>
    <w:rsid w:val="007B72F2"/>
    <w:rsid w:val="007C07AB"/>
    <w:rsid w:val="007C07B6"/>
    <w:rsid w:val="007C283F"/>
    <w:rsid w:val="007C435D"/>
    <w:rsid w:val="007C436E"/>
    <w:rsid w:val="007C664F"/>
    <w:rsid w:val="007D0386"/>
    <w:rsid w:val="007D1E5D"/>
    <w:rsid w:val="007D3BAB"/>
    <w:rsid w:val="007D58F3"/>
    <w:rsid w:val="007D5996"/>
    <w:rsid w:val="007D645D"/>
    <w:rsid w:val="007D671A"/>
    <w:rsid w:val="007D7383"/>
    <w:rsid w:val="007D73DF"/>
    <w:rsid w:val="007D7F1A"/>
    <w:rsid w:val="007D7FB2"/>
    <w:rsid w:val="007E1B0F"/>
    <w:rsid w:val="007E216E"/>
    <w:rsid w:val="007E275E"/>
    <w:rsid w:val="007E2CC4"/>
    <w:rsid w:val="007E30AF"/>
    <w:rsid w:val="007E34D6"/>
    <w:rsid w:val="007E3724"/>
    <w:rsid w:val="007E5A79"/>
    <w:rsid w:val="007E6B64"/>
    <w:rsid w:val="007F09FD"/>
    <w:rsid w:val="007F22F4"/>
    <w:rsid w:val="007F23DD"/>
    <w:rsid w:val="007F2993"/>
    <w:rsid w:val="007F35F7"/>
    <w:rsid w:val="007F507E"/>
    <w:rsid w:val="007F5DF3"/>
    <w:rsid w:val="007F737B"/>
    <w:rsid w:val="007F78D7"/>
    <w:rsid w:val="007F7A76"/>
    <w:rsid w:val="0080075C"/>
    <w:rsid w:val="00800A7D"/>
    <w:rsid w:val="008022A2"/>
    <w:rsid w:val="008059D9"/>
    <w:rsid w:val="0080668E"/>
    <w:rsid w:val="00806AC9"/>
    <w:rsid w:val="0080747A"/>
    <w:rsid w:val="00807D67"/>
    <w:rsid w:val="00810722"/>
    <w:rsid w:val="00813461"/>
    <w:rsid w:val="00813570"/>
    <w:rsid w:val="0081379E"/>
    <w:rsid w:val="00813ED5"/>
    <w:rsid w:val="00813F8D"/>
    <w:rsid w:val="008155FB"/>
    <w:rsid w:val="00816E8C"/>
    <w:rsid w:val="00816F34"/>
    <w:rsid w:val="00820840"/>
    <w:rsid w:val="00820DF1"/>
    <w:rsid w:val="008216C2"/>
    <w:rsid w:val="00827753"/>
    <w:rsid w:val="00831D8A"/>
    <w:rsid w:val="00831E1D"/>
    <w:rsid w:val="008328D3"/>
    <w:rsid w:val="0083425B"/>
    <w:rsid w:val="00834D02"/>
    <w:rsid w:val="008352DB"/>
    <w:rsid w:val="00835BD0"/>
    <w:rsid w:val="008404F0"/>
    <w:rsid w:val="008405DA"/>
    <w:rsid w:val="00840710"/>
    <w:rsid w:val="008424A4"/>
    <w:rsid w:val="008444E9"/>
    <w:rsid w:val="00845246"/>
    <w:rsid w:val="00847855"/>
    <w:rsid w:val="008507BA"/>
    <w:rsid w:val="008525F1"/>
    <w:rsid w:val="00853BF3"/>
    <w:rsid w:val="00853DFB"/>
    <w:rsid w:val="00854E33"/>
    <w:rsid w:val="0085516F"/>
    <w:rsid w:val="00856F8A"/>
    <w:rsid w:val="00860B73"/>
    <w:rsid w:val="00861E48"/>
    <w:rsid w:val="00864748"/>
    <w:rsid w:val="00864A07"/>
    <w:rsid w:val="0086697A"/>
    <w:rsid w:val="00866FE1"/>
    <w:rsid w:val="00870DAA"/>
    <w:rsid w:val="00871980"/>
    <w:rsid w:val="00871F7C"/>
    <w:rsid w:val="00874B2D"/>
    <w:rsid w:val="00877745"/>
    <w:rsid w:val="00877B1E"/>
    <w:rsid w:val="00881787"/>
    <w:rsid w:val="00883D64"/>
    <w:rsid w:val="008852C6"/>
    <w:rsid w:val="0088543B"/>
    <w:rsid w:val="0088572F"/>
    <w:rsid w:val="008870B3"/>
    <w:rsid w:val="008875DC"/>
    <w:rsid w:val="00887DB4"/>
    <w:rsid w:val="00890824"/>
    <w:rsid w:val="0089300D"/>
    <w:rsid w:val="008938BD"/>
    <w:rsid w:val="00893E76"/>
    <w:rsid w:val="0089541C"/>
    <w:rsid w:val="00895970"/>
    <w:rsid w:val="008960E0"/>
    <w:rsid w:val="008964C2"/>
    <w:rsid w:val="00896CDE"/>
    <w:rsid w:val="008A0605"/>
    <w:rsid w:val="008A0DDD"/>
    <w:rsid w:val="008A21B7"/>
    <w:rsid w:val="008A2580"/>
    <w:rsid w:val="008A3883"/>
    <w:rsid w:val="008A40C9"/>
    <w:rsid w:val="008A493E"/>
    <w:rsid w:val="008A5161"/>
    <w:rsid w:val="008A5715"/>
    <w:rsid w:val="008A5A59"/>
    <w:rsid w:val="008A655C"/>
    <w:rsid w:val="008A696F"/>
    <w:rsid w:val="008A7A77"/>
    <w:rsid w:val="008B0B94"/>
    <w:rsid w:val="008B0DAB"/>
    <w:rsid w:val="008B4FC2"/>
    <w:rsid w:val="008B59AB"/>
    <w:rsid w:val="008B61CB"/>
    <w:rsid w:val="008B7A43"/>
    <w:rsid w:val="008C0424"/>
    <w:rsid w:val="008C19B8"/>
    <w:rsid w:val="008C2052"/>
    <w:rsid w:val="008C4012"/>
    <w:rsid w:val="008C4596"/>
    <w:rsid w:val="008C5ED6"/>
    <w:rsid w:val="008C6096"/>
    <w:rsid w:val="008C63DC"/>
    <w:rsid w:val="008C78BB"/>
    <w:rsid w:val="008D12A3"/>
    <w:rsid w:val="008D151E"/>
    <w:rsid w:val="008D4278"/>
    <w:rsid w:val="008D6493"/>
    <w:rsid w:val="008D6A4A"/>
    <w:rsid w:val="008D71A1"/>
    <w:rsid w:val="008E06B4"/>
    <w:rsid w:val="008E0C04"/>
    <w:rsid w:val="008E2932"/>
    <w:rsid w:val="008E31D9"/>
    <w:rsid w:val="008E4803"/>
    <w:rsid w:val="008E4B92"/>
    <w:rsid w:val="008E688E"/>
    <w:rsid w:val="008E7B73"/>
    <w:rsid w:val="008F2640"/>
    <w:rsid w:val="008F289F"/>
    <w:rsid w:val="008F30FD"/>
    <w:rsid w:val="008F41D1"/>
    <w:rsid w:val="008F4FCB"/>
    <w:rsid w:val="008F5B37"/>
    <w:rsid w:val="008F5DDE"/>
    <w:rsid w:val="0090419C"/>
    <w:rsid w:val="009045DA"/>
    <w:rsid w:val="00905523"/>
    <w:rsid w:val="00906BD4"/>
    <w:rsid w:val="009072D9"/>
    <w:rsid w:val="00910033"/>
    <w:rsid w:val="009102B9"/>
    <w:rsid w:val="00911572"/>
    <w:rsid w:val="0091210C"/>
    <w:rsid w:val="009129DD"/>
    <w:rsid w:val="00912BEA"/>
    <w:rsid w:val="00913F36"/>
    <w:rsid w:val="00915F59"/>
    <w:rsid w:val="009161AC"/>
    <w:rsid w:val="00916CCC"/>
    <w:rsid w:val="00916E0A"/>
    <w:rsid w:val="0091747B"/>
    <w:rsid w:val="0092068F"/>
    <w:rsid w:val="00921068"/>
    <w:rsid w:val="009229E8"/>
    <w:rsid w:val="00922C2B"/>
    <w:rsid w:val="00923FBB"/>
    <w:rsid w:val="00924D83"/>
    <w:rsid w:val="00924E6D"/>
    <w:rsid w:val="00927E4C"/>
    <w:rsid w:val="00930117"/>
    <w:rsid w:val="00930550"/>
    <w:rsid w:val="0093741F"/>
    <w:rsid w:val="00937755"/>
    <w:rsid w:val="00937EB3"/>
    <w:rsid w:val="00937FFE"/>
    <w:rsid w:val="009402A1"/>
    <w:rsid w:val="0094214F"/>
    <w:rsid w:val="00943072"/>
    <w:rsid w:val="0094312C"/>
    <w:rsid w:val="0094388D"/>
    <w:rsid w:val="00945984"/>
    <w:rsid w:val="00945D96"/>
    <w:rsid w:val="009462F0"/>
    <w:rsid w:val="009476AE"/>
    <w:rsid w:val="00950A55"/>
    <w:rsid w:val="009514ED"/>
    <w:rsid w:val="009531FC"/>
    <w:rsid w:val="00953757"/>
    <w:rsid w:val="009537E1"/>
    <w:rsid w:val="00953BC8"/>
    <w:rsid w:val="00954DC2"/>
    <w:rsid w:val="00954DDF"/>
    <w:rsid w:val="0096075D"/>
    <w:rsid w:val="00961F7C"/>
    <w:rsid w:val="00965615"/>
    <w:rsid w:val="00965E2E"/>
    <w:rsid w:val="0097003A"/>
    <w:rsid w:val="00970A3D"/>
    <w:rsid w:val="00970C7B"/>
    <w:rsid w:val="00971FD0"/>
    <w:rsid w:val="00974013"/>
    <w:rsid w:val="0097458F"/>
    <w:rsid w:val="00976F7E"/>
    <w:rsid w:val="00976FDF"/>
    <w:rsid w:val="00977903"/>
    <w:rsid w:val="0098009A"/>
    <w:rsid w:val="0098156A"/>
    <w:rsid w:val="00982E1B"/>
    <w:rsid w:val="0098496E"/>
    <w:rsid w:val="00986172"/>
    <w:rsid w:val="00986298"/>
    <w:rsid w:val="00986899"/>
    <w:rsid w:val="00986C31"/>
    <w:rsid w:val="009875A8"/>
    <w:rsid w:val="00987986"/>
    <w:rsid w:val="00987A9E"/>
    <w:rsid w:val="0099176F"/>
    <w:rsid w:val="009923AB"/>
    <w:rsid w:val="0099250F"/>
    <w:rsid w:val="00992A3F"/>
    <w:rsid w:val="009930D2"/>
    <w:rsid w:val="0099386B"/>
    <w:rsid w:val="009945BE"/>
    <w:rsid w:val="0099554F"/>
    <w:rsid w:val="00997EC0"/>
    <w:rsid w:val="009A005A"/>
    <w:rsid w:val="009A0653"/>
    <w:rsid w:val="009A1147"/>
    <w:rsid w:val="009A2439"/>
    <w:rsid w:val="009A2BFD"/>
    <w:rsid w:val="009A2F96"/>
    <w:rsid w:val="009A415F"/>
    <w:rsid w:val="009A57E4"/>
    <w:rsid w:val="009A603C"/>
    <w:rsid w:val="009A6B90"/>
    <w:rsid w:val="009A7E6C"/>
    <w:rsid w:val="009B25C0"/>
    <w:rsid w:val="009B2E25"/>
    <w:rsid w:val="009B30B3"/>
    <w:rsid w:val="009B3C9B"/>
    <w:rsid w:val="009B5BA4"/>
    <w:rsid w:val="009B68E5"/>
    <w:rsid w:val="009B68F1"/>
    <w:rsid w:val="009B75BC"/>
    <w:rsid w:val="009C0394"/>
    <w:rsid w:val="009C48C2"/>
    <w:rsid w:val="009C4FCB"/>
    <w:rsid w:val="009C58FB"/>
    <w:rsid w:val="009C6030"/>
    <w:rsid w:val="009C60EB"/>
    <w:rsid w:val="009C646A"/>
    <w:rsid w:val="009C696A"/>
    <w:rsid w:val="009C75E9"/>
    <w:rsid w:val="009D00C9"/>
    <w:rsid w:val="009D1657"/>
    <w:rsid w:val="009D1CE9"/>
    <w:rsid w:val="009D2C81"/>
    <w:rsid w:val="009D53F0"/>
    <w:rsid w:val="009D5FBD"/>
    <w:rsid w:val="009D6C28"/>
    <w:rsid w:val="009D71C3"/>
    <w:rsid w:val="009D784C"/>
    <w:rsid w:val="009E0052"/>
    <w:rsid w:val="009E09E3"/>
    <w:rsid w:val="009E0C5E"/>
    <w:rsid w:val="009E2319"/>
    <w:rsid w:val="009E7412"/>
    <w:rsid w:val="009E7A3B"/>
    <w:rsid w:val="009F194D"/>
    <w:rsid w:val="009F1992"/>
    <w:rsid w:val="009F28F1"/>
    <w:rsid w:val="009F3DB2"/>
    <w:rsid w:val="009F6985"/>
    <w:rsid w:val="009F702E"/>
    <w:rsid w:val="009F7091"/>
    <w:rsid w:val="00A00369"/>
    <w:rsid w:val="00A004D5"/>
    <w:rsid w:val="00A02893"/>
    <w:rsid w:val="00A02AB5"/>
    <w:rsid w:val="00A02E97"/>
    <w:rsid w:val="00A03028"/>
    <w:rsid w:val="00A0402C"/>
    <w:rsid w:val="00A05B47"/>
    <w:rsid w:val="00A060FE"/>
    <w:rsid w:val="00A06CD9"/>
    <w:rsid w:val="00A072FE"/>
    <w:rsid w:val="00A1045F"/>
    <w:rsid w:val="00A11529"/>
    <w:rsid w:val="00A117C2"/>
    <w:rsid w:val="00A118DF"/>
    <w:rsid w:val="00A12105"/>
    <w:rsid w:val="00A122D8"/>
    <w:rsid w:val="00A1421D"/>
    <w:rsid w:val="00A14244"/>
    <w:rsid w:val="00A14853"/>
    <w:rsid w:val="00A14D59"/>
    <w:rsid w:val="00A16105"/>
    <w:rsid w:val="00A1612C"/>
    <w:rsid w:val="00A16817"/>
    <w:rsid w:val="00A169D7"/>
    <w:rsid w:val="00A1769B"/>
    <w:rsid w:val="00A17EAA"/>
    <w:rsid w:val="00A206AA"/>
    <w:rsid w:val="00A20A9B"/>
    <w:rsid w:val="00A228D7"/>
    <w:rsid w:val="00A24323"/>
    <w:rsid w:val="00A24BDD"/>
    <w:rsid w:val="00A24E16"/>
    <w:rsid w:val="00A255E8"/>
    <w:rsid w:val="00A2615E"/>
    <w:rsid w:val="00A27329"/>
    <w:rsid w:val="00A27EE3"/>
    <w:rsid w:val="00A33998"/>
    <w:rsid w:val="00A34359"/>
    <w:rsid w:val="00A357B3"/>
    <w:rsid w:val="00A35CE1"/>
    <w:rsid w:val="00A36533"/>
    <w:rsid w:val="00A367A9"/>
    <w:rsid w:val="00A36974"/>
    <w:rsid w:val="00A405AC"/>
    <w:rsid w:val="00A408CC"/>
    <w:rsid w:val="00A423EA"/>
    <w:rsid w:val="00A436F2"/>
    <w:rsid w:val="00A44E4F"/>
    <w:rsid w:val="00A470CE"/>
    <w:rsid w:val="00A52A0B"/>
    <w:rsid w:val="00A52F3D"/>
    <w:rsid w:val="00A5340E"/>
    <w:rsid w:val="00A57D8A"/>
    <w:rsid w:val="00A6050C"/>
    <w:rsid w:val="00A60665"/>
    <w:rsid w:val="00A630FB"/>
    <w:rsid w:val="00A649C9"/>
    <w:rsid w:val="00A67538"/>
    <w:rsid w:val="00A70052"/>
    <w:rsid w:val="00A70129"/>
    <w:rsid w:val="00A70425"/>
    <w:rsid w:val="00A70B1E"/>
    <w:rsid w:val="00A70B2E"/>
    <w:rsid w:val="00A70CA0"/>
    <w:rsid w:val="00A721AB"/>
    <w:rsid w:val="00A735D2"/>
    <w:rsid w:val="00A75F61"/>
    <w:rsid w:val="00A8023D"/>
    <w:rsid w:val="00A8042F"/>
    <w:rsid w:val="00A8108E"/>
    <w:rsid w:val="00A81B9F"/>
    <w:rsid w:val="00A8362F"/>
    <w:rsid w:val="00A84BD6"/>
    <w:rsid w:val="00A858F7"/>
    <w:rsid w:val="00A934F5"/>
    <w:rsid w:val="00A93F1E"/>
    <w:rsid w:val="00A95413"/>
    <w:rsid w:val="00A95FDF"/>
    <w:rsid w:val="00A970D9"/>
    <w:rsid w:val="00A97A06"/>
    <w:rsid w:val="00AA11A9"/>
    <w:rsid w:val="00AA128F"/>
    <w:rsid w:val="00AA14EE"/>
    <w:rsid w:val="00AA30CD"/>
    <w:rsid w:val="00AA7A76"/>
    <w:rsid w:val="00AA7B70"/>
    <w:rsid w:val="00AB0207"/>
    <w:rsid w:val="00AB0CFB"/>
    <w:rsid w:val="00AB1791"/>
    <w:rsid w:val="00AB1920"/>
    <w:rsid w:val="00AB197F"/>
    <w:rsid w:val="00AB305E"/>
    <w:rsid w:val="00AB3BE9"/>
    <w:rsid w:val="00AB4321"/>
    <w:rsid w:val="00AB47E0"/>
    <w:rsid w:val="00AB5BE8"/>
    <w:rsid w:val="00AC0A6C"/>
    <w:rsid w:val="00AC0EBC"/>
    <w:rsid w:val="00AC11D7"/>
    <w:rsid w:val="00AC33A5"/>
    <w:rsid w:val="00AC4158"/>
    <w:rsid w:val="00AC4626"/>
    <w:rsid w:val="00AC4757"/>
    <w:rsid w:val="00AC488D"/>
    <w:rsid w:val="00AC56B9"/>
    <w:rsid w:val="00AC5D69"/>
    <w:rsid w:val="00AC6A18"/>
    <w:rsid w:val="00AC7C49"/>
    <w:rsid w:val="00AD1004"/>
    <w:rsid w:val="00AD199B"/>
    <w:rsid w:val="00AD328E"/>
    <w:rsid w:val="00AD3778"/>
    <w:rsid w:val="00AD402A"/>
    <w:rsid w:val="00AD5B8A"/>
    <w:rsid w:val="00AD67E4"/>
    <w:rsid w:val="00AD7454"/>
    <w:rsid w:val="00AE1BCA"/>
    <w:rsid w:val="00AE3FE4"/>
    <w:rsid w:val="00AE4DBD"/>
    <w:rsid w:val="00AE4EF3"/>
    <w:rsid w:val="00AE5379"/>
    <w:rsid w:val="00AE6D38"/>
    <w:rsid w:val="00AF0CE3"/>
    <w:rsid w:val="00AF15AE"/>
    <w:rsid w:val="00AF18FC"/>
    <w:rsid w:val="00AF1BA6"/>
    <w:rsid w:val="00AF1FEC"/>
    <w:rsid w:val="00AF2576"/>
    <w:rsid w:val="00AF30C1"/>
    <w:rsid w:val="00AF347C"/>
    <w:rsid w:val="00AF3EFE"/>
    <w:rsid w:val="00AF4ABC"/>
    <w:rsid w:val="00AF5A54"/>
    <w:rsid w:val="00AF7411"/>
    <w:rsid w:val="00AF7F81"/>
    <w:rsid w:val="00B00ACD"/>
    <w:rsid w:val="00B021CF"/>
    <w:rsid w:val="00B03642"/>
    <w:rsid w:val="00B03B45"/>
    <w:rsid w:val="00B046B1"/>
    <w:rsid w:val="00B0777B"/>
    <w:rsid w:val="00B12E27"/>
    <w:rsid w:val="00B132CF"/>
    <w:rsid w:val="00B134F4"/>
    <w:rsid w:val="00B13C02"/>
    <w:rsid w:val="00B15382"/>
    <w:rsid w:val="00B153AB"/>
    <w:rsid w:val="00B1558A"/>
    <w:rsid w:val="00B167A1"/>
    <w:rsid w:val="00B17EB9"/>
    <w:rsid w:val="00B2141B"/>
    <w:rsid w:val="00B22C6A"/>
    <w:rsid w:val="00B23937"/>
    <w:rsid w:val="00B23B03"/>
    <w:rsid w:val="00B31C06"/>
    <w:rsid w:val="00B32AA8"/>
    <w:rsid w:val="00B33F73"/>
    <w:rsid w:val="00B341E7"/>
    <w:rsid w:val="00B35165"/>
    <w:rsid w:val="00B358DA"/>
    <w:rsid w:val="00B37047"/>
    <w:rsid w:val="00B37C34"/>
    <w:rsid w:val="00B42725"/>
    <w:rsid w:val="00B446C5"/>
    <w:rsid w:val="00B44B19"/>
    <w:rsid w:val="00B46DE0"/>
    <w:rsid w:val="00B5039A"/>
    <w:rsid w:val="00B5114B"/>
    <w:rsid w:val="00B542BD"/>
    <w:rsid w:val="00B54C36"/>
    <w:rsid w:val="00B56BE2"/>
    <w:rsid w:val="00B56C16"/>
    <w:rsid w:val="00B57CAB"/>
    <w:rsid w:val="00B6015C"/>
    <w:rsid w:val="00B617B2"/>
    <w:rsid w:val="00B62277"/>
    <w:rsid w:val="00B63AA0"/>
    <w:rsid w:val="00B63FBA"/>
    <w:rsid w:val="00B641FC"/>
    <w:rsid w:val="00B666D2"/>
    <w:rsid w:val="00B67456"/>
    <w:rsid w:val="00B677D9"/>
    <w:rsid w:val="00B67889"/>
    <w:rsid w:val="00B701CE"/>
    <w:rsid w:val="00B705F8"/>
    <w:rsid w:val="00B72A36"/>
    <w:rsid w:val="00B80144"/>
    <w:rsid w:val="00B8129D"/>
    <w:rsid w:val="00B8271C"/>
    <w:rsid w:val="00B82C9F"/>
    <w:rsid w:val="00B83257"/>
    <w:rsid w:val="00B834D8"/>
    <w:rsid w:val="00B834DB"/>
    <w:rsid w:val="00B845D9"/>
    <w:rsid w:val="00B84C48"/>
    <w:rsid w:val="00B85CAE"/>
    <w:rsid w:val="00B862FE"/>
    <w:rsid w:val="00B9194F"/>
    <w:rsid w:val="00B91B85"/>
    <w:rsid w:val="00B920F8"/>
    <w:rsid w:val="00B92FE7"/>
    <w:rsid w:val="00B932AE"/>
    <w:rsid w:val="00BA0B63"/>
    <w:rsid w:val="00BA0E7F"/>
    <w:rsid w:val="00BA0F11"/>
    <w:rsid w:val="00BA2C20"/>
    <w:rsid w:val="00BA2FC5"/>
    <w:rsid w:val="00BA504B"/>
    <w:rsid w:val="00BA6BEF"/>
    <w:rsid w:val="00BA7D8F"/>
    <w:rsid w:val="00BB1442"/>
    <w:rsid w:val="00BB31AD"/>
    <w:rsid w:val="00BC0E0D"/>
    <w:rsid w:val="00BC1135"/>
    <w:rsid w:val="00BC16E9"/>
    <w:rsid w:val="00BC2059"/>
    <w:rsid w:val="00BC4424"/>
    <w:rsid w:val="00BC4909"/>
    <w:rsid w:val="00BC4C2B"/>
    <w:rsid w:val="00BC5079"/>
    <w:rsid w:val="00BC66FD"/>
    <w:rsid w:val="00BC6747"/>
    <w:rsid w:val="00BC6B72"/>
    <w:rsid w:val="00BC7877"/>
    <w:rsid w:val="00BD0275"/>
    <w:rsid w:val="00BD1989"/>
    <w:rsid w:val="00BD1FF0"/>
    <w:rsid w:val="00BD413B"/>
    <w:rsid w:val="00BD4364"/>
    <w:rsid w:val="00BD4730"/>
    <w:rsid w:val="00BD4FB8"/>
    <w:rsid w:val="00BD5320"/>
    <w:rsid w:val="00BD67AF"/>
    <w:rsid w:val="00BE0BC8"/>
    <w:rsid w:val="00BE1C2F"/>
    <w:rsid w:val="00BE4C5A"/>
    <w:rsid w:val="00BE4F51"/>
    <w:rsid w:val="00BE7C85"/>
    <w:rsid w:val="00BE7F69"/>
    <w:rsid w:val="00BF023A"/>
    <w:rsid w:val="00BF5BA8"/>
    <w:rsid w:val="00BF62E1"/>
    <w:rsid w:val="00BF638F"/>
    <w:rsid w:val="00BF6FA3"/>
    <w:rsid w:val="00BF731F"/>
    <w:rsid w:val="00C018D1"/>
    <w:rsid w:val="00C01BE6"/>
    <w:rsid w:val="00C0345E"/>
    <w:rsid w:val="00C0449C"/>
    <w:rsid w:val="00C0465B"/>
    <w:rsid w:val="00C04899"/>
    <w:rsid w:val="00C04C05"/>
    <w:rsid w:val="00C05061"/>
    <w:rsid w:val="00C05276"/>
    <w:rsid w:val="00C0686B"/>
    <w:rsid w:val="00C079BA"/>
    <w:rsid w:val="00C07AE2"/>
    <w:rsid w:val="00C11DBE"/>
    <w:rsid w:val="00C14D8C"/>
    <w:rsid w:val="00C15ED3"/>
    <w:rsid w:val="00C16133"/>
    <w:rsid w:val="00C173A0"/>
    <w:rsid w:val="00C22890"/>
    <w:rsid w:val="00C22FAD"/>
    <w:rsid w:val="00C23713"/>
    <w:rsid w:val="00C2515E"/>
    <w:rsid w:val="00C255E0"/>
    <w:rsid w:val="00C2578B"/>
    <w:rsid w:val="00C3029F"/>
    <w:rsid w:val="00C31A8E"/>
    <w:rsid w:val="00C31C42"/>
    <w:rsid w:val="00C32B3F"/>
    <w:rsid w:val="00C33F95"/>
    <w:rsid w:val="00C3402B"/>
    <w:rsid w:val="00C34622"/>
    <w:rsid w:val="00C34775"/>
    <w:rsid w:val="00C34B90"/>
    <w:rsid w:val="00C37C17"/>
    <w:rsid w:val="00C4012F"/>
    <w:rsid w:val="00C41D19"/>
    <w:rsid w:val="00C42C34"/>
    <w:rsid w:val="00C42EA8"/>
    <w:rsid w:val="00C43336"/>
    <w:rsid w:val="00C433CC"/>
    <w:rsid w:val="00C44423"/>
    <w:rsid w:val="00C44570"/>
    <w:rsid w:val="00C50785"/>
    <w:rsid w:val="00C51D10"/>
    <w:rsid w:val="00C52542"/>
    <w:rsid w:val="00C53071"/>
    <w:rsid w:val="00C622FA"/>
    <w:rsid w:val="00C62F0E"/>
    <w:rsid w:val="00C63772"/>
    <w:rsid w:val="00C6501E"/>
    <w:rsid w:val="00C6630C"/>
    <w:rsid w:val="00C66804"/>
    <w:rsid w:val="00C67073"/>
    <w:rsid w:val="00C671C5"/>
    <w:rsid w:val="00C67605"/>
    <w:rsid w:val="00C70986"/>
    <w:rsid w:val="00C70AE1"/>
    <w:rsid w:val="00C725C9"/>
    <w:rsid w:val="00C74E7B"/>
    <w:rsid w:val="00C7512E"/>
    <w:rsid w:val="00C756C1"/>
    <w:rsid w:val="00C7585E"/>
    <w:rsid w:val="00C763CB"/>
    <w:rsid w:val="00C777C3"/>
    <w:rsid w:val="00C80CCE"/>
    <w:rsid w:val="00C817BD"/>
    <w:rsid w:val="00C82732"/>
    <w:rsid w:val="00C82BD7"/>
    <w:rsid w:val="00C83293"/>
    <w:rsid w:val="00C86F12"/>
    <w:rsid w:val="00C91011"/>
    <w:rsid w:val="00C92378"/>
    <w:rsid w:val="00C935B0"/>
    <w:rsid w:val="00C93D2A"/>
    <w:rsid w:val="00C9438E"/>
    <w:rsid w:val="00C946EA"/>
    <w:rsid w:val="00C94C55"/>
    <w:rsid w:val="00C95319"/>
    <w:rsid w:val="00C964A5"/>
    <w:rsid w:val="00C96AFB"/>
    <w:rsid w:val="00CA69DE"/>
    <w:rsid w:val="00CA6CEA"/>
    <w:rsid w:val="00CA7BE4"/>
    <w:rsid w:val="00CB099F"/>
    <w:rsid w:val="00CB108F"/>
    <w:rsid w:val="00CB3B0A"/>
    <w:rsid w:val="00CB70C9"/>
    <w:rsid w:val="00CB7BBA"/>
    <w:rsid w:val="00CC11C7"/>
    <w:rsid w:val="00CC1A39"/>
    <w:rsid w:val="00CC2319"/>
    <w:rsid w:val="00CC3374"/>
    <w:rsid w:val="00CC3433"/>
    <w:rsid w:val="00CC48DD"/>
    <w:rsid w:val="00CC4EF7"/>
    <w:rsid w:val="00CC5015"/>
    <w:rsid w:val="00CC7628"/>
    <w:rsid w:val="00CD146D"/>
    <w:rsid w:val="00CD2257"/>
    <w:rsid w:val="00CD76CC"/>
    <w:rsid w:val="00CE065E"/>
    <w:rsid w:val="00CE2081"/>
    <w:rsid w:val="00CE2703"/>
    <w:rsid w:val="00CE30E4"/>
    <w:rsid w:val="00CE32F5"/>
    <w:rsid w:val="00CE3D9A"/>
    <w:rsid w:val="00CE465A"/>
    <w:rsid w:val="00CE6891"/>
    <w:rsid w:val="00CE73F0"/>
    <w:rsid w:val="00CE75A2"/>
    <w:rsid w:val="00CE7EE4"/>
    <w:rsid w:val="00CF2873"/>
    <w:rsid w:val="00CF2DB4"/>
    <w:rsid w:val="00CF3531"/>
    <w:rsid w:val="00CF3E2A"/>
    <w:rsid w:val="00CF410E"/>
    <w:rsid w:val="00CF5358"/>
    <w:rsid w:val="00D0055C"/>
    <w:rsid w:val="00D025E2"/>
    <w:rsid w:val="00D02E88"/>
    <w:rsid w:val="00D03132"/>
    <w:rsid w:val="00D033BD"/>
    <w:rsid w:val="00D05C2B"/>
    <w:rsid w:val="00D05E1A"/>
    <w:rsid w:val="00D061DE"/>
    <w:rsid w:val="00D06C19"/>
    <w:rsid w:val="00D070A3"/>
    <w:rsid w:val="00D07203"/>
    <w:rsid w:val="00D10EBB"/>
    <w:rsid w:val="00D1159F"/>
    <w:rsid w:val="00D116FD"/>
    <w:rsid w:val="00D11A14"/>
    <w:rsid w:val="00D122AA"/>
    <w:rsid w:val="00D1336F"/>
    <w:rsid w:val="00D135FD"/>
    <w:rsid w:val="00D149AE"/>
    <w:rsid w:val="00D15171"/>
    <w:rsid w:val="00D155C7"/>
    <w:rsid w:val="00D1582C"/>
    <w:rsid w:val="00D15917"/>
    <w:rsid w:val="00D169AB"/>
    <w:rsid w:val="00D21911"/>
    <w:rsid w:val="00D226D8"/>
    <w:rsid w:val="00D237B5"/>
    <w:rsid w:val="00D23FDA"/>
    <w:rsid w:val="00D259A1"/>
    <w:rsid w:val="00D26C4C"/>
    <w:rsid w:val="00D26E78"/>
    <w:rsid w:val="00D30711"/>
    <w:rsid w:val="00D31AEC"/>
    <w:rsid w:val="00D32DC0"/>
    <w:rsid w:val="00D33642"/>
    <w:rsid w:val="00D369CA"/>
    <w:rsid w:val="00D37A69"/>
    <w:rsid w:val="00D43342"/>
    <w:rsid w:val="00D44169"/>
    <w:rsid w:val="00D443AF"/>
    <w:rsid w:val="00D45551"/>
    <w:rsid w:val="00D45FA9"/>
    <w:rsid w:val="00D463E5"/>
    <w:rsid w:val="00D46F11"/>
    <w:rsid w:val="00D474E9"/>
    <w:rsid w:val="00D51B69"/>
    <w:rsid w:val="00D52893"/>
    <w:rsid w:val="00D52A45"/>
    <w:rsid w:val="00D535F4"/>
    <w:rsid w:val="00D5531F"/>
    <w:rsid w:val="00D55B65"/>
    <w:rsid w:val="00D61BBF"/>
    <w:rsid w:val="00D628C3"/>
    <w:rsid w:val="00D62A8D"/>
    <w:rsid w:val="00D630DF"/>
    <w:rsid w:val="00D63158"/>
    <w:rsid w:val="00D65789"/>
    <w:rsid w:val="00D66383"/>
    <w:rsid w:val="00D6658F"/>
    <w:rsid w:val="00D66E1F"/>
    <w:rsid w:val="00D66F5D"/>
    <w:rsid w:val="00D67951"/>
    <w:rsid w:val="00D67CA7"/>
    <w:rsid w:val="00D67CD9"/>
    <w:rsid w:val="00D70922"/>
    <w:rsid w:val="00D70E49"/>
    <w:rsid w:val="00D718C7"/>
    <w:rsid w:val="00D72EFC"/>
    <w:rsid w:val="00D73CBE"/>
    <w:rsid w:val="00D744BB"/>
    <w:rsid w:val="00D75D07"/>
    <w:rsid w:val="00D76B0B"/>
    <w:rsid w:val="00D76B7C"/>
    <w:rsid w:val="00D77F57"/>
    <w:rsid w:val="00D80CC9"/>
    <w:rsid w:val="00D8145D"/>
    <w:rsid w:val="00D81C9D"/>
    <w:rsid w:val="00D81CE2"/>
    <w:rsid w:val="00D824FF"/>
    <w:rsid w:val="00D850C0"/>
    <w:rsid w:val="00D853DD"/>
    <w:rsid w:val="00D86998"/>
    <w:rsid w:val="00D91D6F"/>
    <w:rsid w:val="00D92475"/>
    <w:rsid w:val="00D9331D"/>
    <w:rsid w:val="00D9426C"/>
    <w:rsid w:val="00D95C13"/>
    <w:rsid w:val="00DA2691"/>
    <w:rsid w:val="00DA4E5E"/>
    <w:rsid w:val="00DA4EBA"/>
    <w:rsid w:val="00DA4EDA"/>
    <w:rsid w:val="00DA5160"/>
    <w:rsid w:val="00DB1120"/>
    <w:rsid w:val="00DB1531"/>
    <w:rsid w:val="00DB1AC9"/>
    <w:rsid w:val="00DB1DBE"/>
    <w:rsid w:val="00DB1E37"/>
    <w:rsid w:val="00DB486A"/>
    <w:rsid w:val="00DB5CED"/>
    <w:rsid w:val="00DB7520"/>
    <w:rsid w:val="00DC0771"/>
    <w:rsid w:val="00DC1D17"/>
    <w:rsid w:val="00DC713E"/>
    <w:rsid w:val="00DD06BE"/>
    <w:rsid w:val="00DD0D8A"/>
    <w:rsid w:val="00DD3080"/>
    <w:rsid w:val="00DD3390"/>
    <w:rsid w:val="00DD3F21"/>
    <w:rsid w:val="00DD501E"/>
    <w:rsid w:val="00DD5E73"/>
    <w:rsid w:val="00DD6378"/>
    <w:rsid w:val="00DD6683"/>
    <w:rsid w:val="00DE0CD8"/>
    <w:rsid w:val="00DE578D"/>
    <w:rsid w:val="00DE5AF0"/>
    <w:rsid w:val="00DE5D4B"/>
    <w:rsid w:val="00DE6944"/>
    <w:rsid w:val="00DE7A21"/>
    <w:rsid w:val="00DF080F"/>
    <w:rsid w:val="00DF0D2F"/>
    <w:rsid w:val="00DF2C97"/>
    <w:rsid w:val="00DF3E9C"/>
    <w:rsid w:val="00DF3FE1"/>
    <w:rsid w:val="00DF565B"/>
    <w:rsid w:val="00DF6289"/>
    <w:rsid w:val="00DF752A"/>
    <w:rsid w:val="00E01D90"/>
    <w:rsid w:val="00E03154"/>
    <w:rsid w:val="00E10268"/>
    <w:rsid w:val="00E10624"/>
    <w:rsid w:val="00E11873"/>
    <w:rsid w:val="00E12A4F"/>
    <w:rsid w:val="00E13263"/>
    <w:rsid w:val="00E1361A"/>
    <w:rsid w:val="00E1381F"/>
    <w:rsid w:val="00E14063"/>
    <w:rsid w:val="00E1423A"/>
    <w:rsid w:val="00E14B45"/>
    <w:rsid w:val="00E1511D"/>
    <w:rsid w:val="00E164B5"/>
    <w:rsid w:val="00E17890"/>
    <w:rsid w:val="00E21BE8"/>
    <w:rsid w:val="00E23B0B"/>
    <w:rsid w:val="00E24B8F"/>
    <w:rsid w:val="00E265B5"/>
    <w:rsid w:val="00E26A2F"/>
    <w:rsid w:val="00E27A0B"/>
    <w:rsid w:val="00E27ED3"/>
    <w:rsid w:val="00E312CE"/>
    <w:rsid w:val="00E313DF"/>
    <w:rsid w:val="00E34E88"/>
    <w:rsid w:val="00E36644"/>
    <w:rsid w:val="00E40A57"/>
    <w:rsid w:val="00E40DC5"/>
    <w:rsid w:val="00E41E70"/>
    <w:rsid w:val="00E43609"/>
    <w:rsid w:val="00E43F0E"/>
    <w:rsid w:val="00E450FE"/>
    <w:rsid w:val="00E45CD2"/>
    <w:rsid w:val="00E52530"/>
    <w:rsid w:val="00E53DD8"/>
    <w:rsid w:val="00E5405C"/>
    <w:rsid w:val="00E55695"/>
    <w:rsid w:val="00E56427"/>
    <w:rsid w:val="00E56D86"/>
    <w:rsid w:val="00E63242"/>
    <w:rsid w:val="00E63A62"/>
    <w:rsid w:val="00E6407C"/>
    <w:rsid w:val="00E64248"/>
    <w:rsid w:val="00E64C01"/>
    <w:rsid w:val="00E66910"/>
    <w:rsid w:val="00E67404"/>
    <w:rsid w:val="00E708EC"/>
    <w:rsid w:val="00E716FE"/>
    <w:rsid w:val="00E71E6E"/>
    <w:rsid w:val="00E737D9"/>
    <w:rsid w:val="00E75B00"/>
    <w:rsid w:val="00E77102"/>
    <w:rsid w:val="00E81CB6"/>
    <w:rsid w:val="00E81F8A"/>
    <w:rsid w:val="00E83553"/>
    <w:rsid w:val="00E83A84"/>
    <w:rsid w:val="00E8451C"/>
    <w:rsid w:val="00E846A3"/>
    <w:rsid w:val="00E85DD2"/>
    <w:rsid w:val="00E87D96"/>
    <w:rsid w:val="00E9025B"/>
    <w:rsid w:val="00E90C43"/>
    <w:rsid w:val="00E913D4"/>
    <w:rsid w:val="00E91DFA"/>
    <w:rsid w:val="00E9209C"/>
    <w:rsid w:val="00E929FB"/>
    <w:rsid w:val="00E93430"/>
    <w:rsid w:val="00E957B1"/>
    <w:rsid w:val="00E960AB"/>
    <w:rsid w:val="00E96BD7"/>
    <w:rsid w:val="00E97050"/>
    <w:rsid w:val="00E975F0"/>
    <w:rsid w:val="00EA0AE9"/>
    <w:rsid w:val="00EA1DAC"/>
    <w:rsid w:val="00EA29F7"/>
    <w:rsid w:val="00EA368D"/>
    <w:rsid w:val="00EA3DD7"/>
    <w:rsid w:val="00EA3F3F"/>
    <w:rsid w:val="00EA3F57"/>
    <w:rsid w:val="00EA5667"/>
    <w:rsid w:val="00EA5EAB"/>
    <w:rsid w:val="00EA6591"/>
    <w:rsid w:val="00EA6AA6"/>
    <w:rsid w:val="00EA6E0D"/>
    <w:rsid w:val="00EA75F4"/>
    <w:rsid w:val="00EA7617"/>
    <w:rsid w:val="00EB235F"/>
    <w:rsid w:val="00EB3120"/>
    <w:rsid w:val="00EB3212"/>
    <w:rsid w:val="00EB540B"/>
    <w:rsid w:val="00EB5420"/>
    <w:rsid w:val="00EC10FB"/>
    <w:rsid w:val="00EC1576"/>
    <w:rsid w:val="00EC2186"/>
    <w:rsid w:val="00EC3F63"/>
    <w:rsid w:val="00EC734D"/>
    <w:rsid w:val="00ED08D5"/>
    <w:rsid w:val="00ED0D4B"/>
    <w:rsid w:val="00ED22AE"/>
    <w:rsid w:val="00ED4A11"/>
    <w:rsid w:val="00ED504B"/>
    <w:rsid w:val="00ED6177"/>
    <w:rsid w:val="00EE0C69"/>
    <w:rsid w:val="00EE13D5"/>
    <w:rsid w:val="00EE1810"/>
    <w:rsid w:val="00EE3386"/>
    <w:rsid w:val="00EE3832"/>
    <w:rsid w:val="00EE41E4"/>
    <w:rsid w:val="00EE496A"/>
    <w:rsid w:val="00EE50E5"/>
    <w:rsid w:val="00EE6383"/>
    <w:rsid w:val="00EE6A96"/>
    <w:rsid w:val="00EE6CD6"/>
    <w:rsid w:val="00EE6E7B"/>
    <w:rsid w:val="00EE6EC3"/>
    <w:rsid w:val="00EF3045"/>
    <w:rsid w:val="00EF4074"/>
    <w:rsid w:val="00EF5E7A"/>
    <w:rsid w:val="00EF61F9"/>
    <w:rsid w:val="00EF674D"/>
    <w:rsid w:val="00EF77E9"/>
    <w:rsid w:val="00F00FDF"/>
    <w:rsid w:val="00F01821"/>
    <w:rsid w:val="00F029F7"/>
    <w:rsid w:val="00F045FD"/>
    <w:rsid w:val="00F0546E"/>
    <w:rsid w:val="00F068F5"/>
    <w:rsid w:val="00F076E9"/>
    <w:rsid w:val="00F07921"/>
    <w:rsid w:val="00F10725"/>
    <w:rsid w:val="00F115A2"/>
    <w:rsid w:val="00F1343C"/>
    <w:rsid w:val="00F1498F"/>
    <w:rsid w:val="00F15027"/>
    <w:rsid w:val="00F1513D"/>
    <w:rsid w:val="00F1521D"/>
    <w:rsid w:val="00F158B2"/>
    <w:rsid w:val="00F15F38"/>
    <w:rsid w:val="00F15FC5"/>
    <w:rsid w:val="00F20ED3"/>
    <w:rsid w:val="00F212A3"/>
    <w:rsid w:val="00F23141"/>
    <w:rsid w:val="00F23B50"/>
    <w:rsid w:val="00F23B7F"/>
    <w:rsid w:val="00F2619E"/>
    <w:rsid w:val="00F26258"/>
    <w:rsid w:val="00F264B7"/>
    <w:rsid w:val="00F26EB4"/>
    <w:rsid w:val="00F31CCB"/>
    <w:rsid w:val="00F32B60"/>
    <w:rsid w:val="00F32D2E"/>
    <w:rsid w:val="00F3538B"/>
    <w:rsid w:val="00F364A0"/>
    <w:rsid w:val="00F36516"/>
    <w:rsid w:val="00F4214B"/>
    <w:rsid w:val="00F4270E"/>
    <w:rsid w:val="00F44566"/>
    <w:rsid w:val="00F44EA5"/>
    <w:rsid w:val="00F46C33"/>
    <w:rsid w:val="00F508F2"/>
    <w:rsid w:val="00F5188B"/>
    <w:rsid w:val="00F52A66"/>
    <w:rsid w:val="00F54B4B"/>
    <w:rsid w:val="00F55CE1"/>
    <w:rsid w:val="00F57E0C"/>
    <w:rsid w:val="00F60676"/>
    <w:rsid w:val="00F62B8D"/>
    <w:rsid w:val="00F62DC5"/>
    <w:rsid w:val="00F64983"/>
    <w:rsid w:val="00F65DE7"/>
    <w:rsid w:val="00F6702A"/>
    <w:rsid w:val="00F675DF"/>
    <w:rsid w:val="00F67915"/>
    <w:rsid w:val="00F707C6"/>
    <w:rsid w:val="00F72D8F"/>
    <w:rsid w:val="00F75B2C"/>
    <w:rsid w:val="00F76E34"/>
    <w:rsid w:val="00F77672"/>
    <w:rsid w:val="00F804A7"/>
    <w:rsid w:val="00F823CF"/>
    <w:rsid w:val="00F82BAE"/>
    <w:rsid w:val="00F848E3"/>
    <w:rsid w:val="00F85DB9"/>
    <w:rsid w:val="00F8601C"/>
    <w:rsid w:val="00F90CC2"/>
    <w:rsid w:val="00F927A5"/>
    <w:rsid w:val="00F93980"/>
    <w:rsid w:val="00F948EA"/>
    <w:rsid w:val="00F958E6"/>
    <w:rsid w:val="00F95E5C"/>
    <w:rsid w:val="00F95F89"/>
    <w:rsid w:val="00FA06E0"/>
    <w:rsid w:val="00FA074F"/>
    <w:rsid w:val="00FA12B6"/>
    <w:rsid w:val="00FA20D2"/>
    <w:rsid w:val="00FA287E"/>
    <w:rsid w:val="00FA424D"/>
    <w:rsid w:val="00FA44A0"/>
    <w:rsid w:val="00FA6849"/>
    <w:rsid w:val="00FA75E3"/>
    <w:rsid w:val="00FB28B0"/>
    <w:rsid w:val="00FB31FB"/>
    <w:rsid w:val="00FB6207"/>
    <w:rsid w:val="00FB72D8"/>
    <w:rsid w:val="00FC0453"/>
    <w:rsid w:val="00FC184D"/>
    <w:rsid w:val="00FC4D25"/>
    <w:rsid w:val="00FC73FE"/>
    <w:rsid w:val="00FD012D"/>
    <w:rsid w:val="00FD07B6"/>
    <w:rsid w:val="00FD494A"/>
    <w:rsid w:val="00FD5034"/>
    <w:rsid w:val="00FD7135"/>
    <w:rsid w:val="00FD75A4"/>
    <w:rsid w:val="00FD7624"/>
    <w:rsid w:val="00FE028F"/>
    <w:rsid w:val="00FE31E0"/>
    <w:rsid w:val="00FE332F"/>
    <w:rsid w:val="00FE3B48"/>
    <w:rsid w:val="00FE4630"/>
    <w:rsid w:val="00FE7E96"/>
    <w:rsid w:val="00FE7FCA"/>
    <w:rsid w:val="00FF0FB3"/>
    <w:rsid w:val="00FF6D5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E35C"/>
  <w15:docId w15:val="{FEEB0370-1034-41A8-8E83-0F667497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3293"/>
    <w:rPr>
      <w:lang w:val="fr-FR" w:eastAsia="fr-FR"/>
    </w:rPr>
  </w:style>
  <w:style w:type="paragraph" w:styleId="Heading1">
    <w:name w:val="heading 1"/>
    <w:basedOn w:val="Normal"/>
    <w:next w:val="Normal"/>
    <w:qFormat/>
    <w:pPr>
      <w:keepNext/>
      <w:jc w:val="center"/>
      <w:outlineLvl w:val="0"/>
    </w:pPr>
    <w:rPr>
      <w:b/>
      <w:bCs/>
      <w:i/>
      <w:iCs/>
      <w:sz w:val="24"/>
      <w:szCs w:val="24"/>
    </w:rPr>
  </w:style>
  <w:style w:type="paragraph" w:styleId="Heading2">
    <w:name w:val="heading 2"/>
    <w:basedOn w:val="Normal"/>
    <w:next w:val="Normal"/>
    <w:qFormat/>
    <w:pPr>
      <w:keepNext/>
      <w:jc w:val="center"/>
      <w:outlineLvl w:val="1"/>
    </w:pPr>
    <w:rPr>
      <w:sz w:val="24"/>
      <w:szCs w:val="24"/>
      <w:lang w:val="en-GB"/>
    </w:rPr>
  </w:style>
  <w:style w:type="paragraph" w:styleId="Heading3">
    <w:name w:val="heading 3"/>
    <w:basedOn w:val="Normal"/>
    <w:next w:val="Normal"/>
    <w:qFormat/>
    <w:pPr>
      <w:keepNext/>
      <w:spacing w:before="240" w:after="40" w:line="480" w:lineRule="auto"/>
      <w:jc w:val="both"/>
      <w:outlineLvl w:val="2"/>
    </w:pPr>
    <w:rPr>
      <w:b/>
      <w:bCs/>
      <w:sz w:val="28"/>
      <w:szCs w:val="28"/>
      <w:lang w:val="en-US"/>
    </w:rPr>
  </w:style>
  <w:style w:type="paragraph" w:styleId="Heading4">
    <w:name w:val="heading 4"/>
    <w:basedOn w:val="Normal"/>
    <w:next w:val="Normal"/>
    <w:qFormat/>
    <w:pPr>
      <w:keepNext/>
      <w:outlineLvl w:val="3"/>
    </w:pPr>
    <w:rPr>
      <w:b/>
      <w:bCs/>
      <w:sz w:val="28"/>
      <w:szCs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8"/>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Titreshma">
    <w:name w:val="Titre shéma"/>
    <w:basedOn w:val="Normal"/>
    <w:pPr>
      <w:keepNext/>
      <w:keepLines/>
      <w:tabs>
        <w:tab w:val="left" w:pos="5670"/>
      </w:tabs>
      <w:spacing w:before="240" w:after="60" w:line="240" w:lineRule="atLeast"/>
      <w:jc w:val="center"/>
    </w:pPr>
    <w:rPr>
      <w:b/>
      <w:bCs/>
      <w:color w:val="000000"/>
      <w:sz w:val="28"/>
      <w:szCs w:val="28"/>
      <w:lang w:val="en-GB"/>
    </w:rPr>
  </w:style>
  <w:style w:type="paragraph" w:customStyle="1" w:styleId="1-Textder2Abstze">
    <w:name w:val="1-Text der 2. Absätze"/>
    <w:basedOn w:val="Normal"/>
    <w:pPr>
      <w:spacing w:line="240" w:lineRule="atLeast"/>
      <w:ind w:firstLine="227"/>
      <w:jc w:val="both"/>
    </w:pPr>
    <w:rPr>
      <w:spacing w:val="-4"/>
      <w:sz w:val="24"/>
      <w:szCs w:val="24"/>
      <w:lang w:val="de-DE"/>
    </w:rPr>
  </w:style>
  <w:style w:type="paragraph" w:customStyle="1" w:styleId="noteg">
    <w:name w:val="noteg"/>
    <w:basedOn w:val="Normal"/>
    <w:pPr>
      <w:jc w:val="both"/>
    </w:pPr>
    <w:rPr>
      <w:sz w:val="16"/>
      <w:szCs w:val="16"/>
    </w:rPr>
  </w:style>
  <w:style w:type="paragraph" w:customStyle="1" w:styleId="titregraphique">
    <w:name w:val="titregraphique"/>
    <w:basedOn w:val="Normal"/>
    <w:pPr>
      <w:jc w:val="center"/>
    </w:pPr>
    <w:rPr>
      <w:i/>
      <w:iCs/>
    </w:rPr>
  </w:style>
  <w:style w:type="paragraph" w:customStyle="1" w:styleId="table">
    <w:name w:val="table"/>
    <w:basedOn w:val="Normal"/>
    <w:pPr>
      <w:jc w:val="center"/>
    </w:pPr>
    <w:rPr>
      <w:sz w:val="18"/>
      <w:szCs w:val="18"/>
    </w:rPr>
  </w:style>
  <w:style w:type="paragraph" w:styleId="FootnoteText">
    <w:name w:val="footnote text"/>
    <w:basedOn w:val="Normal"/>
    <w:link w:val="FootnoteTextChar"/>
    <w:uiPriority w:val="99"/>
    <w:semiHidden/>
    <w:pPr>
      <w:jc w:val="both"/>
    </w:pPr>
  </w:style>
  <w:style w:type="paragraph" w:customStyle="1" w:styleId="tableau">
    <w:name w:val="tableau"/>
    <w:basedOn w:val="FootnoteText"/>
    <w:pPr>
      <w:jc w:val="center"/>
    </w:pPr>
    <w:rPr>
      <w:sz w:val="16"/>
      <w:szCs w:val="16"/>
      <w:lang w:val="en-GB"/>
    </w:rPr>
  </w:style>
  <w:style w:type="character" w:styleId="FootnoteReference">
    <w:name w:val="footnote reference"/>
    <w:uiPriority w:val="99"/>
    <w:semiHidden/>
    <w:rPr>
      <w:vertAlign w:val="superscript"/>
    </w:rPr>
  </w:style>
  <w:style w:type="character" w:styleId="Hyperlink">
    <w:name w:val="Hyperlink"/>
    <w:uiPriority w:val="99"/>
    <w:rPr>
      <w:color w:val="0000FF"/>
      <w:u w:val="single"/>
    </w:rPr>
  </w:style>
  <w:style w:type="character" w:customStyle="1" w:styleId="MTEquationSection">
    <w:name w:val="MTEquationSection"/>
    <w:rPr>
      <w:vanish/>
      <w:color w:val="FF0000"/>
      <w:lang w:val="en-GB"/>
    </w:rPr>
  </w:style>
  <w:style w:type="paragraph" w:styleId="BodyTextIndent">
    <w:name w:val="Body Text Indent"/>
    <w:basedOn w:val="Normal"/>
    <w:pPr>
      <w:tabs>
        <w:tab w:val="left" w:pos="5670"/>
      </w:tabs>
      <w:spacing w:before="60" w:after="60" w:line="264" w:lineRule="auto"/>
      <w:jc w:val="center"/>
    </w:pPr>
    <w:rPr>
      <w:i/>
      <w:iCs/>
      <w:color w:val="000000"/>
      <w:sz w:val="24"/>
      <w:szCs w:val="24"/>
    </w:rPr>
  </w:style>
  <w:style w:type="paragraph" w:customStyle="1" w:styleId="1-Hauptberschrift">
    <w:name w:val="1-Hauptüberschrift"/>
    <w:basedOn w:val="1-Textder2Abstze"/>
    <w:pPr>
      <w:pageBreakBefore/>
      <w:spacing w:after="1200" w:line="300" w:lineRule="auto"/>
      <w:ind w:firstLine="0"/>
      <w:jc w:val="left"/>
    </w:pPr>
    <w:rPr>
      <w:sz w:val="36"/>
      <w:szCs w:val="36"/>
    </w:rPr>
  </w:style>
  <w:style w:type="paragraph" w:customStyle="1" w:styleId="1-Unterberschr1Wertigkeit">
    <w:name w:val="1-Unterüberschr. 1. Wertigkeit"/>
    <w:basedOn w:val="1-Textder2Abstze"/>
    <w:pPr>
      <w:spacing w:before="720" w:after="240"/>
      <w:ind w:firstLine="0"/>
      <w:jc w:val="left"/>
    </w:pPr>
    <w:rPr>
      <w:sz w:val="28"/>
      <w:szCs w:val="28"/>
    </w:rPr>
  </w:style>
  <w:style w:type="paragraph" w:customStyle="1" w:styleId="1-Textder1Abstze">
    <w:name w:val="1-Text der 1. Absätze"/>
    <w:basedOn w:val="1-Textder2Abstze"/>
    <w:autoRedefine/>
    <w:pPr>
      <w:ind w:firstLine="284"/>
    </w:pPr>
    <w:rPr>
      <w:lang w:val="fr-FR"/>
    </w:rPr>
  </w:style>
  <w:style w:type="character" w:styleId="PageNumber">
    <w:name w:val="page number"/>
    <w:basedOn w:val="DefaultParagraphFont"/>
  </w:style>
  <w:style w:type="paragraph" w:styleId="BodyText">
    <w:name w:val="Body Text"/>
    <w:basedOn w:val="Normal"/>
    <w:pPr>
      <w:jc w:val="both"/>
    </w:pPr>
    <w:rPr>
      <w:sz w:val="24"/>
      <w:szCs w:val="24"/>
      <w:lang w:val="en-US"/>
    </w:rPr>
  </w:style>
  <w:style w:type="paragraph" w:styleId="BodyTextIndent2">
    <w:name w:val="Body Text Indent 2"/>
    <w:basedOn w:val="Normal"/>
    <w:pPr>
      <w:ind w:left="280" w:hanging="280"/>
    </w:pPr>
    <w:rPr>
      <w:b/>
      <w:bCs/>
      <w:sz w:val="24"/>
      <w:szCs w:val="24"/>
      <w:lang w:val="en-US"/>
    </w:rPr>
  </w:style>
  <w:style w:type="paragraph" w:customStyle="1" w:styleId="bib">
    <w:name w:val="bib"/>
    <w:basedOn w:val="Normal"/>
    <w:pPr>
      <w:tabs>
        <w:tab w:val="left" w:pos="5670"/>
      </w:tabs>
      <w:spacing w:before="60" w:after="60"/>
      <w:ind w:left="567" w:hanging="567"/>
      <w:jc w:val="both"/>
    </w:pPr>
    <w:rPr>
      <w:noProof/>
      <w:color w:val="000000"/>
      <w:lang w:val="en-US"/>
    </w:rPr>
  </w:style>
  <w:style w:type="character" w:styleId="FollowedHyperlink">
    <w:name w:val="FollowedHyperlink"/>
    <w:uiPriority w:val="99"/>
    <w:rPr>
      <w:color w:val="800080"/>
      <w:u w:val="single"/>
    </w:rPr>
  </w:style>
  <w:style w:type="paragraph" w:customStyle="1" w:styleId="Titrefigure">
    <w:name w:val="Titre figure"/>
    <w:basedOn w:val="Normal"/>
    <w:pPr>
      <w:numPr>
        <w:numId w:val="1"/>
      </w:numPr>
      <w:tabs>
        <w:tab w:val="clear" w:pos="360"/>
      </w:tabs>
      <w:spacing w:before="160" w:after="120"/>
      <w:ind w:left="-288" w:firstLine="288"/>
      <w:jc w:val="center"/>
    </w:pPr>
    <w:rPr>
      <w:b/>
      <w:bCs/>
      <w:sz w:val="24"/>
      <w:szCs w:val="24"/>
    </w:rPr>
  </w:style>
  <w:style w:type="paragraph" w:customStyle="1" w:styleId="notedetableau">
    <w:name w:val="note de tableau"/>
    <w:basedOn w:val="Normal"/>
    <w:pPr>
      <w:tabs>
        <w:tab w:val="left" w:pos="5670"/>
      </w:tabs>
      <w:spacing w:after="120"/>
      <w:jc w:val="both"/>
    </w:pPr>
    <w:rPr>
      <w:color w:val="000000"/>
    </w:rPr>
  </w:style>
  <w:style w:type="paragraph" w:customStyle="1" w:styleId="source">
    <w:name w:val="source"/>
    <w:basedOn w:val="Normal"/>
    <w:pPr>
      <w:tabs>
        <w:tab w:val="left" w:pos="5670"/>
      </w:tabs>
      <w:spacing w:after="60"/>
      <w:jc w:val="both"/>
    </w:pPr>
    <w:rPr>
      <w:color w:val="000000"/>
      <w:sz w:val="16"/>
      <w:szCs w:val="16"/>
    </w:rPr>
  </w:style>
  <w:style w:type="table" w:styleId="TableGrid">
    <w:name w:val="Table Grid"/>
    <w:basedOn w:val="TableNormal"/>
    <w:rsid w:val="00A17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961E7"/>
    <w:rPr>
      <w:rFonts w:ascii="Tahoma" w:hAnsi="Tahoma" w:cs="Tahoma"/>
      <w:sz w:val="16"/>
      <w:szCs w:val="16"/>
    </w:rPr>
  </w:style>
  <w:style w:type="character" w:customStyle="1" w:styleId="BalloonTextChar">
    <w:name w:val="Balloon Text Char"/>
    <w:link w:val="BalloonText"/>
    <w:rsid w:val="001961E7"/>
    <w:rPr>
      <w:rFonts w:ascii="Tahoma" w:hAnsi="Tahoma" w:cs="Tahoma"/>
      <w:sz w:val="16"/>
      <w:szCs w:val="16"/>
      <w:lang w:val="fr-FR" w:eastAsia="fr-FR"/>
    </w:rPr>
  </w:style>
  <w:style w:type="paragraph" w:styleId="NormalWeb">
    <w:name w:val="Normal (Web)"/>
    <w:basedOn w:val="Normal"/>
    <w:uiPriority w:val="99"/>
    <w:unhideWhenUsed/>
    <w:rsid w:val="0016271F"/>
    <w:pPr>
      <w:spacing w:before="100" w:beforeAutospacing="1" w:after="100" w:afterAutospacing="1"/>
    </w:pPr>
    <w:rPr>
      <w:sz w:val="24"/>
      <w:szCs w:val="24"/>
      <w:lang w:val="en-US" w:eastAsia="en-US"/>
    </w:rPr>
  </w:style>
  <w:style w:type="paragraph" w:styleId="TOCHeading">
    <w:name w:val="TOC Heading"/>
    <w:basedOn w:val="Heading1"/>
    <w:next w:val="Normal"/>
    <w:uiPriority w:val="39"/>
    <w:semiHidden/>
    <w:unhideWhenUsed/>
    <w:qFormat/>
    <w:rsid w:val="00266F84"/>
    <w:pPr>
      <w:keepLines/>
      <w:spacing w:before="480" w:line="276" w:lineRule="auto"/>
      <w:jc w:val="left"/>
      <w:outlineLvl w:val="9"/>
    </w:pPr>
    <w:rPr>
      <w:rFonts w:ascii="Cambria" w:eastAsia="MS Gothic" w:hAnsi="Cambria"/>
      <w:i w:val="0"/>
      <w:iCs w:val="0"/>
      <w:color w:val="365F91"/>
      <w:sz w:val="28"/>
      <w:szCs w:val="28"/>
      <w:lang w:val="en-US" w:eastAsia="ja-JP"/>
    </w:rPr>
  </w:style>
  <w:style w:type="character" w:styleId="CommentReference">
    <w:name w:val="annotation reference"/>
    <w:rsid w:val="00353068"/>
    <w:rPr>
      <w:sz w:val="16"/>
      <w:szCs w:val="16"/>
    </w:rPr>
  </w:style>
  <w:style w:type="paragraph" w:styleId="CommentText">
    <w:name w:val="annotation text"/>
    <w:basedOn w:val="Normal"/>
    <w:link w:val="CommentTextChar"/>
    <w:rsid w:val="00353068"/>
  </w:style>
  <w:style w:type="character" w:customStyle="1" w:styleId="CommentTextChar">
    <w:name w:val="Comment Text Char"/>
    <w:link w:val="CommentText"/>
    <w:rsid w:val="00353068"/>
    <w:rPr>
      <w:lang w:val="fr-FR" w:eastAsia="fr-FR"/>
    </w:rPr>
  </w:style>
  <w:style w:type="paragraph" w:styleId="CommentSubject">
    <w:name w:val="annotation subject"/>
    <w:basedOn w:val="CommentText"/>
    <w:next w:val="CommentText"/>
    <w:link w:val="CommentSubjectChar"/>
    <w:rsid w:val="00353068"/>
    <w:rPr>
      <w:b/>
      <w:bCs/>
    </w:rPr>
  </w:style>
  <w:style w:type="character" w:customStyle="1" w:styleId="CommentSubjectChar">
    <w:name w:val="Comment Subject Char"/>
    <w:link w:val="CommentSubject"/>
    <w:rsid w:val="00353068"/>
    <w:rPr>
      <w:b/>
      <w:bCs/>
      <w:lang w:val="fr-FR" w:eastAsia="fr-FR"/>
    </w:rPr>
  </w:style>
  <w:style w:type="character" w:customStyle="1" w:styleId="highlightedsearchterm">
    <w:name w:val="highlightedsearchterm"/>
    <w:rsid w:val="00864748"/>
  </w:style>
  <w:style w:type="paragraph" w:styleId="ListParagraph">
    <w:name w:val="List Paragraph"/>
    <w:basedOn w:val="Normal"/>
    <w:uiPriority w:val="34"/>
    <w:qFormat/>
    <w:rsid w:val="0042097E"/>
    <w:pPr>
      <w:ind w:left="720"/>
      <w:contextualSpacing/>
    </w:pPr>
  </w:style>
  <w:style w:type="character" w:styleId="PlaceholderText">
    <w:name w:val="Placeholder Text"/>
    <w:basedOn w:val="DefaultParagraphFont"/>
    <w:uiPriority w:val="99"/>
    <w:semiHidden/>
    <w:rsid w:val="00DE6944"/>
    <w:rPr>
      <w:color w:val="808080"/>
    </w:rPr>
  </w:style>
  <w:style w:type="paragraph" w:styleId="Caption">
    <w:name w:val="caption"/>
    <w:basedOn w:val="Normal"/>
    <w:next w:val="Normal"/>
    <w:uiPriority w:val="35"/>
    <w:unhideWhenUsed/>
    <w:qFormat/>
    <w:rsid w:val="00B666D2"/>
    <w:pPr>
      <w:spacing w:after="200"/>
    </w:pPr>
    <w:rPr>
      <w:rFonts w:asciiTheme="minorHAnsi" w:eastAsiaTheme="minorHAnsi" w:hAnsiTheme="minorHAnsi" w:cstheme="minorBidi"/>
      <w:i/>
      <w:iCs/>
      <w:color w:val="1F497D" w:themeColor="text2"/>
      <w:sz w:val="18"/>
      <w:szCs w:val="18"/>
      <w:lang w:val="en-GB" w:eastAsia="en-US" w:bidi="he-IL"/>
    </w:rPr>
  </w:style>
  <w:style w:type="character" w:customStyle="1" w:styleId="FootnoteTextChar">
    <w:name w:val="Footnote Text Char"/>
    <w:basedOn w:val="DefaultParagraphFont"/>
    <w:link w:val="FootnoteText"/>
    <w:uiPriority w:val="99"/>
    <w:semiHidden/>
    <w:rsid w:val="00B666D2"/>
    <w:rPr>
      <w:lang w:val="fr-FR" w:eastAsia="fr-FR"/>
    </w:rPr>
  </w:style>
  <w:style w:type="paragraph" w:customStyle="1" w:styleId="EndNoteBibliography">
    <w:name w:val="EndNote Bibliography"/>
    <w:basedOn w:val="Normal"/>
    <w:link w:val="EndNoteBibliographyZchn"/>
    <w:rsid w:val="00B666D2"/>
    <w:pPr>
      <w:spacing w:after="160"/>
    </w:pPr>
    <w:rPr>
      <w:rFonts w:ascii="Calibri" w:eastAsiaTheme="minorHAnsi" w:hAnsi="Calibri" w:cstheme="minorBidi"/>
      <w:noProof/>
      <w:sz w:val="22"/>
      <w:szCs w:val="22"/>
      <w:lang w:val="en-US" w:eastAsia="en-US"/>
    </w:rPr>
  </w:style>
  <w:style w:type="character" w:customStyle="1" w:styleId="EndNoteBibliographyZchn">
    <w:name w:val="EndNote Bibliography Zchn"/>
    <w:basedOn w:val="DefaultParagraphFont"/>
    <w:link w:val="EndNoteBibliography"/>
    <w:rsid w:val="00B666D2"/>
    <w:rPr>
      <w:rFonts w:ascii="Calibri" w:eastAsiaTheme="minorHAnsi" w:hAnsi="Calibri" w:cstheme="minorBidi"/>
      <w:noProof/>
      <w:sz w:val="22"/>
      <w:szCs w:val="22"/>
    </w:rPr>
  </w:style>
  <w:style w:type="character" w:customStyle="1" w:styleId="nlmstring-name">
    <w:name w:val="nlm_string-name"/>
    <w:basedOn w:val="DefaultParagraphFont"/>
    <w:rsid w:val="00B666D2"/>
  </w:style>
  <w:style w:type="character" w:customStyle="1" w:styleId="apple-converted-space">
    <w:name w:val="apple-converted-space"/>
    <w:basedOn w:val="DefaultParagraphFont"/>
    <w:rsid w:val="00B666D2"/>
  </w:style>
  <w:style w:type="character" w:customStyle="1" w:styleId="journalname">
    <w:name w:val="journalname"/>
    <w:basedOn w:val="DefaultParagraphFont"/>
    <w:rsid w:val="00B666D2"/>
  </w:style>
  <w:style w:type="character" w:customStyle="1" w:styleId="year">
    <w:name w:val="year"/>
    <w:basedOn w:val="DefaultParagraphFont"/>
    <w:rsid w:val="00B666D2"/>
  </w:style>
  <w:style w:type="character" w:customStyle="1" w:styleId="volume">
    <w:name w:val="volume"/>
    <w:basedOn w:val="DefaultParagraphFont"/>
    <w:rsid w:val="00B666D2"/>
  </w:style>
  <w:style w:type="character" w:customStyle="1" w:styleId="issue">
    <w:name w:val="issue"/>
    <w:basedOn w:val="DefaultParagraphFont"/>
    <w:rsid w:val="00B666D2"/>
  </w:style>
  <w:style w:type="character" w:customStyle="1" w:styleId="page">
    <w:name w:val="page"/>
    <w:basedOn w:val="DefaultParagraphFont"/>
    <w:rsid w:val="00B666D2"/>
  </w:style>
  <w:style w:type="character" w:customStyle="1" w:styleId="nlmgiven-names">
    <w:name w:val="nlm_given-names"/>
    <w:basedOn w:val="DefaultParagraphFont"/>
    <w:rsid w:val="00B666D2"/>
  </w:style>
  <w:style w:type="character" w:customStyle="1" w:styleId="nlmyear">
    <w:name w:val="nlm_year"/>
    <w:basedOn w:val="DefaultParagraphFont"/>
    <w:rsid w:val="00B666D2"/>
  </w:style>
  <w:style w:type="character" w:customStyle="1" w:styleId="nlmarticle-title">
    <w:name w:val="nlm_article-title"/>
    <w:basedOn w:val="DefaultParagraphFont"/>
    <w:rsid w:val="00B666D2"/>
  </w:style>
  <w:style w:type="character" w:customStyle="1" w:styleId="nlmpub-id">
    <w:name w:val="nlm_pub-id"/>
    <w:basedOn w:val="DefaultParagraphFont"/>
    <w:rsid w:val="00B666D2"/>
  </w:style>
  <w:style w:type="character" w:styleId="Emphasis">
    <w:name w:val="Emphasis"/>
    <w:basedOn w:val="DefaultParagraphFont"/>
    <w:uiPriority w:val="20"/>
    <w:qFormat/>
    <w:rsid w:val="003D6CC9"/>
    <w:rPr>
      <w:i/>
      <w:iCs/>
    </w:rPr>
  </w:style>
  <w:style w:type="paragraph" w:styleId="Bibliography">
    <w:name w:val="Bibliography"/>
    <w:basedOn w:val="Normal"/>
    <w:next w:val="Normal"/>
    <w:uiPriority w:val="37"/>
    <w:unhideWhenUsed/>
    <w:rsid w:val="00E313DF"/>
    <w:pPr>
      <w:spacing w:line="480" w:lineRule="auto"/>
      <w:ind w:left="720" w:hanging="720"/>
    </w:pPr>
  </w:style>
  <w:style w:type="paragraph" w:styleId="Revision">
    <w:name w:val="Revision"/>
    <w:hidden/>
    <w:uiPriority w:val="99"/>
    <w:semiHidden/>
    <w:rsid w:val="009A1147"/>
    <w:rPr>
      <w:lang w:val="fr-FR" w:eastAsia="fr-FR"/>
    </w:rPr>
  </w:style>
  <w:style w:type="character" w:customStyle="1" w:styleId="UnresolvedMention1">
    <w:name w:val="Unresolved Mention1"/>
    <w:basedOn w:val="DefaultParagraphFont"/>
    <w:rsid w:val="00CE32F5"/>
    <w:rPr>
      <w:color w:val="808080"/>
      <w:shd w:val="clear" w:color="auto" w:fill="E6E6E6"/>
    </w:rPr>
  </w:style>
  <w:style w:type="character" w:customStyle="1" w:styleId="apple-tab-span">
    <w:name w:val="apple-tab-span"/>
    <w:basedOn w:val="DefaultParagraphFont"/>
    <w:rsid w:val="00757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040">
      <w:bodyDiv w:val="1"/>
      <w:marLeft w:val="0"/>
      <w:marRight w:val="0"/>
      <w:marTop w:val="0"/>
      <w:marBottom w:val="0"/>
      <w:divBdr>
        <w:top w:val="none" w:sz="0" w:space="0" w:color="auto"/>
        <w:left w:val="none" w:sz="0" w:space="0" w:color="auto"/>
        <w:bottom w:val="none" w:sz="0" w:space="0" w:color="auto"/>
        <w:right w:val="none" w:sz="0" w:space="0" w:color="auto"/>
      </w:divBdr>
    </w:div>
    <w:div w:id="77948883">
      <w:bodyDiv w:val="1"/>
      <w:marLeft w:val="0"/>
      <w:marRight w:val="0"/>
      <w:marTop w:val="0"/>
      <w:marBottom w:val="0"/>
      <w:divBdr>
        <w:top w:val="none" w:sz="0" w:space="0" w:color="auto"/>
        <w:left w:val="none" w:sz="0" w:space="0" w:color="auto"/>
        <w:bottom w:val="none" w:sz="0" w:space="0" w:color="auto"/>
        <w:right w:val="none" w:sz="0" w:space="0" w:color="auto"/>
      </w:divBdr>
    </w:div>
    <w:div w:id="100803358">
      <w:bodyDiv w:val="1"/>
      <w:marLeft w:val="0"/>
      <w:marRight w:val="0"/>
      <w:marTop w:val="0"/>
      <w:marBottom w:val="0"/>
      <w:divBdr>
        <w:top w:val="none" w:sz="0" w:space="0" w:color="auto"/>
        <w:left w:val="none" w:sz="0" w:space="0" w:color="auto"/>
        <w:bottom w:val="none" w:sz="0" w:space="0" w:color="auto"/>
        <w:right w:val="none" w:sz="0" w:space="0" w:color="auto"/>
      </w:divBdr>
    </w:div>
    <w:div w:id="122164867">
      <w:bodyDiv w:val="1"/>
      <w:marLeft w:val="0"/>
      <w:marRight w:val="0"/>
      <w:marTop w:val="0"/>
      <w:marBottom w:val="0"/>
      <w:divBdr>
        <w:top w:val="none" w:sz="0" w:space="0" w:color="auto"/>
        <w:left w:val="none" w:sz="0" w:space="0" w:color="auto"/>
        <w:bottom w:val="none" w:sz="0" w:space="0" w:color="auto"/>
        <w:right w:val="none" w:sz="0" w:space="0" w:color="auto"/>
      </w:divBdr>
      <w:divsChild>
        <w:div w:id="1650016137">
          <w:marLeft w:val="0"/>
          <w:marRight w:val="0"/>
          <w:marTop w:val="0"/>
          <w:marBottom w:val="0"/>
          <w:divBdr>
            <w:top w:val="none" w:sz="0" w:space="0" w:color="auto"/>
            <w:left w:val="none" w:sz="0" w:space="0" w:color="auto"/>
            <w:bottom w:val="none" w:sz="0" w:space="0" w:color="auto"/>
            <w:right w:val="none" w:sz="0" w:space="0" w:color="auto"/>
          </w:divBdr>
          <w:divsChild>
            <w:div w:id="346030556">
              <w:marLeft w:val="0"/>
              <w:marRight w:val="0"/>
              <w:marTop w:val="0"/>
              <w:marBottom w:val="0"/>
              <w:divBdr>
                <w:top w:val="none" w:sz="0" w:space="0" w:color="auto"/>
                <w:left w:val="none" w:sz="0" w:space="0" w:color="auto"/>
                <w:bottom w:val="none" w:sz="0" w:space="0" w:color="auto"/>
                <w:right w:val="none" w:sz="0" w:space="0" w:color="auto"/>
              </w:divBdr>
              <w:divsChild>
                <w:div w:id="1070466346">
                  <w:marLeft w:val="0"/>
                  <w:marRight w:val="0"/>
                  <w:marTop w:val="0"/>
                  <w:marBottom w:val="0"/>
                  <w:divBdr>
                    <w:top w:val="none" w:sz="0" w:space="0" w:color="auto"/>
                    <w:left w:val="none" w:sz="0" w:space="0" w:color="auto"/>
                    <w:bottom w:val="none" w:sz="0" w:space="0" w:color="auto"/>
                    <w:right w:val="none" w:sz="0" w:space="0" w:color="auto"/>
                  </w:divBdr>
                  <w:divsChild>
                    <w:div w:id="21218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8237">
      <w:bodyDiv w:val="1"/>
      <w:marLeft w:val="0"/>
      <w:marRight w:val="0"/>
      <w:marTop w:val="0"/>
      <w:marBottom w:val="0"/>
      <w:divBdr>
        <w:top w:val="none" w:sz="0" w:space="0" w:color="auto"/>
        <w:left w:val="none" w:sz="0" w:space="0" w:color="auto"/>
        <w:bottom w:val="none" w:sz="0" w:space="0" w:color="auto"/>
        <w:right w:val="none" w:sz="0" w:space="0" w:color="auto"/>
      </w:divBdr>
    </w:div>
    <w:div w:id="175191115">
      <w:bodyDiv w:val="1"/>
      <w:marLeft w:val="0"/>
      <w:marRight w:val="0"/>
      <w:marTop w:val="0"/>
      <w:marBottom w:val="0"/>
      <w:divBdr>
        <w:top w:val="none" w:sz="0" w:space="0" w:color="auto"/>
        <w:left w:val="none" w:sz="0" w:space="0" w:color="auto"/>
        <w:bottom w:val="none" w:sz="0" w:space="0" w:color="auto"/>
        <w:right w:val="none" w:sz="0" w:space="0" w:color="auto"/>
      </w:divBdr>
    </w:div>
    <w:div w:id="280386213">
      <w:bodyDiv w:val="1"/>
      <w:marLeft w:val="0"/>
      <w:marRight w:val="0"/>
      <w:marTop w:val="0"/>
      <w:marBottom w:val="0"/>
      <w:divBdr>
        <w:top w:val="none" w:sz="0" w:space="0" w:color="auto"/>
        <w:left w:val="none" w:sz="0" w:space="0" w:color="auto"/>
        <w:bottom w:val="none" w:sz="0" w:space="0" w:color="auto"/>
        <w:right w:val="none" w:sz="0" w:space="0" w:color="auto"/>
      </w:divBdr>
    </w:div>
    <w:div w:id="322585301">
      <w:bodyDiv w:val="1"/>
      <w:marLeft w:val="0"/>
      <w:marRight w:val="0"/>
      <w:marTop w:val="0"/>
      <w:marBottom w:val="0"/>
      <w:divBdr>
        <w:top w:val="none" w:sz="0" w:space="0" w:color="auto"/>
        <w:left w:val="none" w:sz="0" w:space="0" w:color="auto"/>
        <w:bottom w:val="none" w:sz="0" w:space="0" w:color="auto"/>
        <w:right w:val="none" w:sz="0" w:space="0" w:color="auto"/>
      </w:divBdr>
    </w:div>
    <w:div w:id="341860368">
      <w:bodyDiv w:val="1"/>
      <w:marLeft w:val="0"/>
      <w:marRight w:val="0"/>
      <w:marTop w:val="0"/>
      <w:marBottom w:val="0"/>
      <w:divBdr>
        <w:top w:val="none" w:sz="0" w:space="0" w:color="auto"/>
        <w:left w:val="none" w:sz="0" w:space="0" w:color="auto"/>
        <w:bottom w:val="none" w:sz="0" w:space="0" w:color="auto"/>
        <w:right w:val="none" w:sz="0" w:space="0" w:color="auto"/>
      </w:divBdr>
    </w:div>
    <w:div w:id="343409544">
      <w:bodyDiv w:val="1"/>
      <w:marLeft w:val="0"/>
      <w:marRight w:val="0"/>
      <w:marTop w:val="0"/>
      <w:marBottom w:val="0"/>
      <w:divBdr>
        <w:top w:val="none" w:sz="0" w:space="0" w:color="auto"/>
        <w:left w:val="none" w:sz="0" w:space="0" w:color="auto"/>
        <w:bottom w:val="none" w:sz="0" w:space="0" w:color="auto"/>
        <w:right w:val="none" w:sz="0" w:space="0" w:color="auto"/>
      </w:divBdr>
    </w:div>
    <w:div w:id="365252696">
      <w:bodyDiv w:val="1"/>
      <w:marLeft w:val="0"/>
      <w:marRight w:val="0"/>
      <w:marTop w:val="0"/>
      <w:marBottom w:val="0"/>
      <w:divBdr>
        <w:top w:val="none" w:sz="0" w:space="0" w:color="auto"/>
        <w:left w:val="none" w:sz="0" w:space="0" w:color="auto"/>
        <w:bottom w:val="none" w:sz="0" w:space="0" w:color="auto"/>
        <w:right w:val="none" w:sz="0" w:space="0" w:color="auto"/>
      </w:divBdr>
      <w:divsChild>
        <w:div w:id="1142769403">
          <w:marLeft w:val="0"/>
          <w:marRight w:val="0"/>
          <w:marTop w:val="0"/>
          <w:marBottom w:val="0"/>
          <w:divBdr>
            <w:top w:val="none" w:sz="0" w:space="0" w:color="auto"/>
            <w:left w:val="none" w:sz="0" w:space="0" w:color="auto"/>
            <w:bottom w:val="none" w:sz="0" w:space="0" w:color="auto"/>
            <w:right w:val="none" w:sz="0" w:space="0" w:color="auto"/>
          </w:divBdr>
          <w:divsChild>
            <w:div w:id="661857267">
              <w:marLeft w:val="0"/>
              <w:marRight w:val="0"/>
              <w:marTop w:val="0"/>
              <w:marBottom w:val="0"/>
              <w:divBdr>
                <w:top w:val="none" w:sz="0" w:space="0" w:color="auto"/>
                <w:left w:val="none" w:sz="0" w:space="0" w:color="auto"/>
                <w:bottom w:val="none" w:sz="0" w:space="0" w:color="auto"/>
                <w:right w:val="none" w:sz="0" w:space="0" w:color="auto"/>
              </w:divBdr>
            </w:div>
          </w:divsChild>
        </w:div>
        <w:div w:id="1545404523">
          <w:marLeft w:val="0"/>
          <w:marRight w:val="0"/>
          <w:marTop w:val="0"/>
          <w:marBottom w:val="105"/>
          <w:divBdr>
            <w:top w:val="none" w:sz="0" w:space="0" w:color="auto"/>
            <w:left w:val="none" w:sz="0" w:space="0" w:color="auto"/>
            <w:bottom w:val="none" w:sz="0" w:space="0" w:color="auto"/>
            <w:right w:val="none" w:sz="0" w:space="0" w:color="auto"/>
          </w:divBdr>
        </w:div>
      </w:divsChild>
    </w:div>
    <w:div w:id="366180905">
      <w:bodyDiv w:val="1"/>
      <w:marLeft w:val="0"/>
      <w:marRight w:val="0"/>
      <w:marTop w:val="0"/>
      <w:marBottom w:val="0"/>
      <w:divBdr>
        <w:top w:val="none" w:sz="0" w:space="0" w:color="auto"/>
        <w:left w:val="none" w:sz="0" w:space="0" w:color="auto"/>
        <w:bottom w:val="none" w:sz="0" w:space="0" w:color="auto"/>
        <w:right w:val="none" w:sz="0" w:space="0" w:color="auto"/>
      </w:divBdr>
    </w:div>
    <w:div w:id="404956450">
      <w:bodyDiv w:val="1"/>
      <w:marLeft w:val="0"/>
      <w:marRight w:val="0"/>
      <w:marTop w:val="0"/>
      <w:marBottom w:val="0"/>
      <w:divBdr>
        <w:top w:val="none" w:sz="0" w:space="0" w:color="auto"/>
        <w:left w:val="none" w:sz="0" w:space="0" w:color="auto"/>
        <w:bottom w:val="none" w:sz="0" w:space="0" w:color="auto"/>
        <w:right w:val="none" w:sz="0" w:space="0" w:color="auto"/>
      </w:divBdr>
    </w:div>
    <w:div w:id="421339103">
      <w:bodyDiv w:val="1"/>
      <w:marLeft w:val="0"/>
      <w:marRight w:val="0"/>
      <w:marTop w:val="0"/>
      <w:marBottom w:val="0"/>
      <w:divBdr>
        <w:top w:val="none" w:sz="0" w:space="0" w:color="auto"/>
        <w:left w:val="none" w:sz="0" w:space="0" w:color="auto"/>
        <w:bottom w:val="none" w:sz="0" w:space="0" w:color="auto"/>
        <w:right w:val="none" w:sz="0" w:space="0" w:color="auto"/>
      </w:divBdr>
    </w:div>
    <w:div w:id="442728125">
      <w:bodyDiv w:val="1"/>
      <w:marLeft w:val="0"/>
      <w:marRight w:val="0"/>
      <w:marTop w:val="0"/>
      <w:marBottom w:val="0"/>
      <w:divBdr>
        <w:top w:val="none" w:sz="0" w:space="0" w:color="auto"/>
        <w:left w:val="none" w:sz="0" w:space="0" w:color="auto"/>
        <w:bottom w:val="none" w:sz="0" w:space="0" w:color="auto"/>
        <w:right w:val="none" w:sz="0" w:space="0" w:color="auto"/>
      </w:divBdr>
    </w:div>
    <w:div w:id="503741043">
      <w:bodyDiv w:val="1"/>
      <w:marLeft w:val="0"/>
      <w:marRight w:val="0"/>
      <w:marTop w:val="0"/>
      <w:marBottom w:val="0"/>
      <w:divBdr>
        <w:top w:val="none" w:sz="0" w:space="0" w:color="auto"/>
        <w:left w:val="none" w:sz="0" w:space="0" w:color="auto"/>
        <w:bottom w:val="none" w:sz="0" w:space="0" w:color="auto"/>
        <w:right w:val="none" w:sz="0" w:space="0" w:color="auto"/>
      </w:divBdr>
    </w:div>
    <w:div w:id="517700626">
      <w:bodyDiv w:val="1"/>
      <w:marLeft w:val="0"/>
      <w:marRight w:val="0"/>
      <w:marTop w:val="0"/>
      <w:marBottom w:val="0"/>
      <w:divBdr>
        <w:top w:val="none" w:sz="0" w:space="0" w:color="auto"/>
        <w:left w:val="none" w:sz="0" w:space="0" w:color="auto"/>
        <w:bottom w:val="none" w:sz="0" w:space="0" w:color="auto"/>
        <w:right w:val="none" w:sz="0" w:space="0" w:color="auto"/>
      </w:divBdr>
      <w:divsChild>
        <w:div w:id="1053193078">
          <w:marLeft w:val="0"/>
          <w:marRight w:val="0"/>
          <w:marTop w:val="0"/>
          <w:marBottom w:val="0"/>
          <w:divBdr>
            <w:top w:val="none" w:sz="0" w:space="0" w:color="auto"/>
            <w:left w:val="none" w:sz="0" w:space="0" w:color="auto"/>
            <w:bottom w:val="none" w:sz="0" w:space="0" w:color="auto"/>
            <w:right w:val="none" w:sz="0" w:space="0" w:color="auto"/>
          </w:divBdr>
        </w:div>
      </w:divsChild>
    </w:div>
    <w:div w:id="517935854">
      <w:bodyDiv w:val="1"/>
      <w:marLeft w:val="0"/>
      <w:marRight w:val="0"/>
      <w:marTop w:val="0"/>
      <w:marBottom w:val="0"/>
      <w:divBdr>
        <w:top w:val="none" w:sz="0" w:space="0" w:color="auto"/>
        <w:left w:val="none" w:sz="0" w:space="0" w:color="auto"/>
        <w:bottom w:val="none" w:sz="0" w:space="0" w:color="auto"/>
        <w:right w:val="none" w:sz="0" w:space="0" w:color="auto"/>
      </w:divBdr>
    </w:div>
    <w:div w:id="522866378">
      <w:bodyDiv w:val="1"/>
      <w:marLeft w:val="0"/>
      <w:marRight w:val="0"/>
      <w:marTop w:val="0"/>
      <w:marBottom w:val="0"/>
      <w:divBdr>
        <w:top w:val="none" w:sz="0" w:space="0" w:color="auto"/>
        <w:left w:val="none" w:sz="0" w:space="0" w:color="auto"/>
        <w:bottom w:val="none" w:sz="0" w:space="0" w:color="auto"/>
        <w:right w:val="none" w:sz="0" w:space="0" w:color="auto"/>
      </w:divBdr>
    </w:div>
    <w:div w:id="604965927">
      <w:bodyDiv w:val="1"/>
      <w:marLeft w:val="0"/>
      <w:marRight w:val="0"/>
      <w:marTop w:val="0"/>
      <w:marBottom w:val="0"/>
      <w:divBdr>
        <w:top w:val="none" w:sz="0" w:space="0" w:color="auto"/>
        <w:left w:val="none" w:sz="0" w:space="0" w:color="auto"/>
        <w:bottom w:val="none" w:sz="0" w:space="0" w:color="auto"/>
        <w:right w:val="none" w:sz="0" w:space="0" w:color="auto"/>
      </w:divBdr>
    </w:div>
    <w:div w:id="644357470">
      <w:bodyDiv w:val="1"/>
      <w:marLeft w:val="0"/>
      <w:marRight w:val="0"/>
      <w:marTop w:val="0"/>
      <w:marBottom w:val="0"/>
      <w:divBdr>
        <w:top w:val="none" w:sz="0" w:space="0" w:color="auto"/>
        <w:left w:val="none" w:sz="0" w:space="0" w:color="auto"/>
        <w:bottom w:val="none" w:sz="0" w:space="0" w:color="auto"/>
        <w:right w:val="none" w:sz="0" w:space="0" w:color="auto"/>
      </w:divBdr>
    </w:div>
    <w:div w:id="683869890">
      <w:bodyDiv w:val="1"/>
      <w:marLeft w:val="0"/>
      <w:marRight w:val="0"/>
      <w:marTop w:val="0"/>
      <w:marBottom w:val="0"/>
      <w:divBdr>
        <w:top w:val="none" w:sz="0" w:space="0" w:color="auto"/>
        <w:left w:val="none" w:sz="0" w:space="0" w:color="auto"/>
        <w:bottom w:val="none" w:sz="0" w:space="0" w:color="auto"/>
        <w:right w:val="none" w:sz="0" w:space="0" w:color="auto"/>
      </w:divBdr>
    </w:div>
    <w:div w:id="685207116">
      <w:bodyDiv w:val="1"/>
      <w:marLeft w:val="0"/>
      <w:marRight w:val="0"/>
      <w:marTop w:val="0"/>
      <w:marBottom w:val="0"/>
      <w:divBdr>
        <w:top w:val="none" w:sz="0" w:space="0" w:color="auto"/>
        <w:left w:val="none" w:sz="0" w:space="0" w:color="auto"/>
        <w:bottom w:val="none" w:sz="0" w:space="0" w:color="auto"/>
        <w:right w:val="none" w:sz="0" w:space="0" w:color="auto"/>
      </w:divBdr>
      <w:divsChild>
        <w:div w:id="415639903">
          <w:marLeft w:val="0"/>
          <w:marRight w:val="0"/>
          <w:marTop w:val="0"/>
          <w:marBottom w:val="0"/>
          <w:divBdr>
            <w:top w:val="none" w:sz="0" w:space="0" w:color="auto"/>
            <w:left w:val="none" w:sz="0" w:space="0" w:color="auto"/>
            <w:bottom w:val="none" w:sz="0" w:space="0" w:color="auto"/>
            <w:right w:val="none" w:sz="0" w:space="0" w:color="auto"/>
          </w:divBdr>
          <w:divsChild>
            <w:div w:id="14998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5755">
      <w:bodyDiv w:val="1"/>
      <w:marLeft w:val="0"/>
      <w:marRight w:val="0"/>
      <w:marTop w:val="0"/>
      <w:marBottom w:val="0"/>
      <w:divBdr>
        <w:top w:val="none" w:sz="0" w:space="0" w:color="auto"/>
        <w:left w:val="none" w:sz="0" w:space="0" w:color="auto"/>
        <w:bottom w:val="none" w:sz="0" w:space="0" w:color="auto"/>
        <w:right w:val="none" w:sz="0" w:space="0" w:color="auto"/>
      </w:divBdr>
    </w:div>
    <w:div w:id="696850234">
      <w:bodyDiv w:val="1"/>
      <w:marLeft w:val="0"/>
      <w:marRight w:val="0"/>
      <w:marTop w:val="0"/>
      <w:marBottom w:val="0"/>
      <w:divBdr>
        <w:top w:val="none" w:sz="0" w:space="0" w:color="auto"/>
        <w:left w:val="none" w:sz="0" w:space="0" w:color="auto"/>
        <w:bottom w:val="none" w:sz="0" w:space="0" w:color="auto"/>
        <w:right w:val="none" w:sz="0" w:space="0" w:color="auto"/>
      </w:divBdr>
    </w:div>
    <w:div w:id="709452081">
      <w:bodyDiv w:val="1"/>
      <w:marLeft w:val="0"/>
      <w:marRight w:val="0"/>
      <w:marTop w:val="0"/>
      <w:marBottom w:val="0"/>
      <w:divBdr>
        <w:top w:val="none" w:sz="0" w:space="0" w:color="auto"/>
        <w:left w:val="none" w:sz="0" w:space="0" w:color="auto"/>
        <w:bottom w:val="none" w:sz="0" w:space="0" w:color="auto"/>
        <w:right w:val="none" w:sz="0" w:space="0" w:color="auto"/>
      </w:divBdr>
    </w:div>
    <w:div w:id="731345851">
      <w:bodyDiv w:val="1"/>
      <w:marLeft w:val="0"/>
      <w:marRight w:val="0"/>
      <w:marTop w:val="0"/>
      <w:marBottom w:val="0"/>
      <w:divBdr>
        <w:top w:val="none" w:sz="0" w:space="0" w:color="auto"/>
        <w:left w:val="none" w:sz="0" w:space="0" w:color="auto"/>
        <w:bottom w:val="none" w:sz="0" w:space="0" w:color="auto"/>
        <w:right w:val="none" w:sz="0" w:space="0" w:color="auto"/>
      </w:divBdr>
    </w:div>
    <w:div w:id="741098128">
      <w:bodyDiv w:val="1"/>
      <w:marLeft w:val="0"/>
      <w:marRight w:val="0"/>
      <w:marTop w:val="0"/>
      <w:marBottom w:val="0"/>
      <w:divBdr>
        <w:top w:val="none" w:sz="0" w:space="0" w:color="auto"/>
        <w:left w:val="none" w:sz="0" w:space="0" w:color="auto"/>
        <w:bottom w:val="none" w:sz="0" w:space="0" w:color="auto"/>
        <w:right w:val="none" w:sz="0" w:space="0" w:color="auto"/>
      </w:divBdr>
    </w:div>
    <w:div w:id="753163706">
      <w:bodyDiv w:val="1"/>
      <w:marLeft w:val="0"/>
      <w:marRight w:val="0"/>
      <w:marTop w:val="0"/>
      <w:marBottom w:val="0"/>
      <w:divBdr>
        <w:top w:val="none" w:sz="0" w:space="0" w:color="auto"/>
        <w:left w:val="none" w:sz="0" w:space="0" w:color="auto"/>
        <w:bottom w:val="none" w:sz="0" w:space="0" w:color="auto"/>
        <w:right w:val="none" w:sz="0" w:space="0" w:color="auto"/>
      </w:divBdr>
      <w:divsChild>
        <w:div w:id="1100369570">
          <w:marLeft w:val="0"/>
          <w:marRight w:val="0"/>
          <w:marTop w:val="0"/>
          <w:marBottom w:val="0"/>
          <w:divBdr>
            <w:top w:val="none" w:sz="0" w:space="0" w:color="auto"/>
            <w:left w:val="none" w:sz="0" w:space="0" w:color="auto"/>
            <w:bottom w:val="none" w:sz="0" w:space="0" w:color="auto"/>
            <w:right w:val="none" w:sz="0" w:space="0" w:color="auto"/>
          </w:divBdr>
          <w:divsChild>
            <w:div w:id="14818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4539">
      <w:bodyDiv w:val="1"/>
      <w:marLeft w:val="0"/>
      <w:marRight w:val="0"/>
      <w:marTop w:val="0"/>
      <w:marBottom w:val="0"/>
      <w:divBdr>
        <w:top w:val="none" w:sz="0" w:space="0" w:color="auto"/>
        <w:left w:val="none" w:sz="0" w:space="0" w:color="auto"/>
        <w:bottom w:val="none" w:sz="0" w:space="0" w:color="auto"/>
        <w:right w:val="none" w:sz="0" w:space="0" w:color="auto"/>
      </w:divBdr>
    </w:div>
    <w:div w:id="775515603">
      <w:bodyDiv w:val="1"/>
      <w:marLeft w:val="0"/>
      <w:marRight w:val="0"/>
      <w:marTop w:val="0"/>
      <w:marBottom w:val="0"/>
      <w:divBdr>
        <w:top w:val="none" w:sz="0" w:space="0" w:color="auto"/>
        <w:left w:val="none" w:sz="0" w:space="0" w:color="auto"/>
        <w:bottom w:val="none" w:sz="0" w:space="0" w:color="auto"/>
        <w:right w:val="none" w:sz="0" w:space="0" w:color="auto"/>
      </w:divBdr>
    </w:div>
    <w:div w:id="852762653">
      <w:bodyDiv w:val="1"/>
      <w:marLeft w:val="0"/>
      <w:marRight w:val="0"/>
      <w:marTop w:val="0"/>
      <w:marBottom w:val="0"/>
      <w:divBdr>
        <w:top w:val="none" w:sz="0" w:space="0" w:color="auto"/>
        <w:left w:val="none" w:sz="0" w:space="0" w:color="auto"/>
        <w:bottom w:val="none" w:sz="0" w:space="0" w:color="auto"/>
        <w:right w:val="none" w:sz="0" w:space="0" w:color="auto"/>
      </w:divBdr>
    </w:div>
    <w:div w:id="969290521">
      <w:bodyDiv w:val="1"/>
      <w:marLeft w:val="0"/>
      <w:marRight w:val="0"/>
      <w:marTop w:val="0"/>
      <w:marBottom w:val="0"/>
      <w:divBdr>
        <w:top w:val="none" w:sz="0" w:space="0" w:color="auto"/>
        <w:left w:val="none" w:sz="0" w:space="0" w:color="auto"/>
        <w:bottom w:val="none" w:sz="0" w:space="0" w:color="auto"/>
        <w:right w:val="none" w:sz="0" w:space="0" w:color="auto"/>
      </w:divBdr>
    </w:div>
    <w:div w:id="1033112028">
      <w:bodyDiv w:val="1"/>
      <w:marLeft w:val="0"/>
      <w:marRight w:val="0"/>
      <w:marTop w:val="0"/>
      <w:marBottom w:val="0"/>
      <w:divBdr>
        <w:top w:val="none" w:sz="0" w:space="0" w:color="auto"/>
        <w:left w:val="none" w:sz="0" w:space="0" w:color="auto"/>
        <w:bottom w:val="none" w:sz="0" w:space="0" w:color="auto"/>
        <w:right w:val="none" w:sz="0" w:space="0" w:color="auto"/>
      </w:divBdr>
    </w:div>
    <w:div w:id="1072892200">
      <w:bodyDiv w:val="1"/>
      <w:marLeft w:val="0"/>
      <w:marRight w:val="0"/>
      <w:marTop w:val="0"/>
      <w:marBottom w:val="0"/>
      <w:divBdr>
        <w:top w:val="none" w:sz="0" w:space="0" w:color="auto"/>
        <w:left w:val="none" w:sz="0" w:space="0" w:color="auto"/>
        <w:bottom w:val="none" w:sz="0" w:space="0" w:color="auto"/>
        <w:right w:val="none" w:sz="0" w:space="0" w:color="auto"/>
      </w:divBdr>
      <w:divsChild>
        <w:div w:id="1920943017">
          <w:marLeft w:val="0"/>
          <w:marRight w:val="0"/>
          <w:marTop w:val="0"/>
          <w:marBottom w:val="0"/>
          <w:divBdr>
            <w:top w:val="none" w:sz="0" w:space="0" w:color="auto"/>
            <w:left w:val="none" w:sz="0" w:space="0" w:color="auto"/>
            <w:bottom w:val="none" w:sz="0" w:space="0" w:color="auto"/>
            <w:right w:val="none" w:sz="0" w:space="0" w:color="auto"/>
          </w:divBdr>
          <w:divsChild>
            <w:div w:id="1342078771">
              <w:marLeft w:val="0"/>
              <w:marRight w:val="0"/>
              <w:marTop w:val="0"/>
              <w:marBottom w:val="0"/>
              <w:divBdr>
                <w:top w:val="none" w:sz="0" w:space="0" w:color="auto"/>
                <w:left w:val="none" w:sz="0" w:space="0" w:color="auto"/>
                <w:bottom w:val="none" w:sz="0" w:space="0" w:color="auto"/>
                <w:right w:val="none" w:sz="0" w:space="0" w:color="auto"/>
              </w:divBdr>
              <w:divsChild>
                <w:div w:id="310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9882">
      <w:bodyDiv w:val="1"/>
      <w:marLeft w:val="0"/>
      <w:marRight w:val="0"/>
      <w:marTop w:val="0"/>
      <w:marBottom w:val="0"/>
      <w:divBdr>
        <w:top w:val="none" w:sz="0" w:space="0" w:color="auto"/>
        <w:left w:val="none" w:sz="0" w:space="0" w:color="auto"/>
        <w:bottom w:val="none" w:sz="0" w:space="0" w:color="auto"/>
        <w:right w:val="none" w:sz="0" w:space="0" w:color="auto"/>
      </w:divBdr>
      <w:divsChild>
        <w:div w:id="230818047">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0"/>
              <w:divBdr>
                <w:top w:val="none" w:sz="0" w:space="0" w:color="auto"/>
                <w:left w:val="none" w:sz="0" w:space="0" w:color="auto"/>
                <w:bottom w:val="none" w:sz="0" w:space="0" w:color="auto"/>
                <w:right w:val="none" w:sz="0" w:space="0" w:color="auto"/>
              </w:divBdr>
            </w:div>
            <w:div w:id="468010662">
              <w:marLeft w:val="0"/>
              <w:marRight w:val="0"/>
              <w:marTop w:val="0"/>
              <w:marBottom w:val="0"/>
              <w:divBdr>
                <w:top w:val="none" w:sz="0" w:space="0" w:color="auto"/>
                <w:left w:val="none" w:sz="0" w:space="0" w:color="auto"/>
                <w:bottom w:val="none" w:sz="0" w:space="0" w:color="auto"/>
                <w:right w:val="none" w:sz="0" w:space="0" w:color="auto"/>
              </w:divBdr>
            </w:div>
            <w:div w:id="813722387">
              <w:marLeft w:val="0"/>
              <w:marRight w:val="0"/>
              <w:marTop w:val="0"/>
              <w:marBottom w:val="0"/>
              <w:divBdr>
                <w:top w:val="none" w:sz="0" w:space="0" w:color="auto"/>
                <w:left w:val="none" w:sz="0" w:space="0" w:color="auto"/>
                <w:bottom w:val="none" w:sz="0" w:space="0" w:color="auto"/>
                <w:right w:val="none" w:sz="0" w:space="0" w:color="auto"/>
              </w:divBdr>
            </w:div>
            <w:div w:id="832990751">
              <w:marLeft w:val="0"/>
              <w:marRight w:val="0"/>
              <w:marTop w:val="0"/>
              <w:marBottom w:val="0"/>
              <w:divBdr>
                <w:top w:val="none" w:sz="0" w:space="0" w:color="auto"/>
                <w:left w:val="none" w:sz="0" w:space="0" w:color="auto"/>
                <w:bottom w:val="none" w:sz="0" w:space="0" w:color="auto"/>
                <w:right w:val="none" w:sz="0" w:space="0" w:color="auto"/>
              </w:divBdr>
            </w:div>
            <w:div w:id="863980414">
              <w:marLeft w:val="0"/>
              <w:marRight w:val="0"/>
              <w:marTop w:val="0"/>
              <w:marBottom w:val="0"/>
              <w:divBdr>
                <w:top w:val="none" w:sz="0" w:space="0" w:color="auto"/>
                <w:left w:val="none" w:sz="0" w:space="0" w:color="auto"/>
                <w:bottom w:val="none" w:sz="0" w:space="0" w:color="auto"/>
                <w:right w:val="none" w:sz="0" w:space="0" w:color="auto"/>
              </w:divBdr>
            </w:div>
            <w:div w:id="883063309">
              <w:marLeft w:val="0"/>
              <w:marRight w:val="0"/>
              <w:marTop w:val="0"/>
              <w:marBottom w:val="0"/>
              <w:divBdr>
                <w:top w:val="none" w:sz="0" w:space="0" w:color="auto"/>
                <w:left w:val="none" w:sz="0" w:space="0" w:color="auto"/>
                <w:bottom w:val="none" w:sz="0" w:space="0" w:color="auto"/>
                <w:right w:val="none" w:sz="0" w:space="0" w:color="auto"/>
              </w:divBdr>
            </w:div>
            <w:div w:id="887837730">
              <w:marLeft w:val="0"/>
              <w:marRight w:val="0"/>
              <w:marTop w:val="0"/>
              <w:marBottom w:val="0"/>
              <w:divBdr>
                <w:top w:val="none" w:sz="0" w:space="0" w:color="auto"/>
                <w:left w:val="none" w:sz="0" w:space="0" w:color="auto"/>
                <w:bottom w:val="none" w:sz="0" w:space="0" w:color="auto"/>
                <w:right w:val="none" w:sz="0" w:space="0" w:color="auto"/>
              </w:divBdr>
            </w:div>
            <w:div w:id="1237132594">
              <w:marLeft w:val="0"/>
              <w:marRight w:val="0"/>
              <w:marTop w:val="0"/>
              <w:marBottom w:val="0"/>
              <w:divBdr>
                <w:top w:val="none" w:sz="0" w:space="0" w:color="auto"/>
                <w:left w:val="none" w:sz="0" w:space="0" w:color="auto"/>
                <w:bottom w:val="none" w:sz="0" w:space="0" w:color="auto"/>
                <w:right w:val="none" w:sz="0" w:space="0" w:color="auto"/>
              </w:divBdr>
            </w:div>
            <w:div w:id="1578662181">
              <w:marLeft w:val="0"/>
              <w:marRight w:val="0"/>
              <w:marTop w:val="0"/>
              <w:marBottom w:val="0"/>
              <w:divBdr>
                <w:top w:val="none" w:sz="0" w:space="0" w:color="auto"/>
                <w:left w:val="none" w:sz="0" w:space="0" w:color="auto"/>
                <w:bottom w:val="none" w:sz="0" w:space="0" w:color="auto"/>
                <w:right w:val="none" w:sz="0" w:space="0" w:color="auto"/>
              </w:divBdr>
            </w:div>
            <w:div w:id="2005930830">
              <w:marLeft w:val="0"/>
              <w:marRight w:val="0"/>
              <w:marTop w:val="0"/>
              <w:marBottom w:val="0"/>
              <w:divBdr>
                <w:top w:val="none" w:sz="0" w:space="0" w:color="auto"/>
                <w:left w:val="none" w:sz="0" w:space="0" w:color="auto"/>
                <w:bottom w:val="none" w:sz="0" w:space="0" w:color="auto"/>
                <w:right w:val="none" w:sz="0" w:space="0" w:color="auto"/>
              </w:divBdr>
            </w:div>
            <w:div w:id="2025354466">
              <w:marLeft w:val="0"/>
              <w:marRight w:val="0"/>
              <w:marTop w:val="0"/>
              <w:marBottom w:val="0"/>
              <w:divBdr>
                <w:top w:val="none" w:sz="0" w:space="0" w:color="auto"/>
                <w:left w:val="none" w:sz="0" w:space="0" w:color="auto"/>
                <w:bottom w:val="none" w:sz="0" w:space="0" w:color="auto"/>
                <w:right w:val="none" w:sz="0" w:space="0" w:color="auto"/>
              </w:divBdr>
            </w:div>
            <w:div w:id="21016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5549">
      <w:bodyDiv w:val="1"/>
      <w:marLeft w:val="0"/>
      <w:marRight w:val="0"/>
      <w:marTop w:val="0"/>
      <w:marBottom w:val="0"/>
      <w:divBdr>
        <w:top w:val="none" w:sz="0" w:space="0" w:color="auto"/>
        <w:left w:val="none" w:sz="0" w:space="0" w:color="auto"/>
        <w:bottom w:val="none" w:sz="0" w:space="0" w:color="auto"/>
        <w:right w:val="none" w:sz="0" w:space="0" w:color="auto"/>
      </w:divBdr>
      <w:divsChild>
        <w:div w:id="141503266">
          <w:marLeft w:val="0"/>
          <w:marRight w:val="0"/>
          <w:marTop w:val="0"/>
          <w:marBottom w:val="0"/>
          <w:divBdr>
            <w:top w:val="none" w:sz="0" w:space="0" w:color="auto"/>
            <w:left w:val="none" w:sz="0" w:space="0" w:color="auto"/>
            <w:bottom w:val="none" w:sz="0" w:space="0" w:color="auto"/>
            <w:right w:val="none" w:sz="0" w:space="0" w:color="auto"/>
          </w:divBdr>
        </w:div>
        <w:div w:id="201285971">
          <w:marLeft w:val="0"/>
          <w:marRight w:val="0"/>
          <w:marTop w:val="0"/>
          <w:marBottom w:val="0"/>
          <w:divBdr>
            <w:top w:val="none" w:sz="0" w:space="0" w:color="auto"/>
            <w:left w:val="none" w:sz="0" w:space="0" w:color="auto"/>
            <w:bottom w:val="none" w:sz="0" w:space="0" w:color="auto"/>
            <w:right w:val="none" w:sz="0" w:space="0" w:color="auto"/>
          </w:divBdr>
        </w:div>
        <w:div w:id="892473096">
          <w:marLeft w:val="0"/>
          <w:marRight w:val="0"/>
          <w:marTop w:val="0"/>
          <w:marBottom w:val="0"/>
          <w:divBdr>
            <w:top w:val="none" w:sz="0" w:space="0" w:color="auto"/>
            <w:left w:val="none" w:sz="0" w:space="0" w:color="auto"/>
            <w:bottom w:val="none" w:sz="0" w:space="0" w:color="auto"/>
            <w:right w:val="none" w:sz="0" w:space="0" w:color="auto"/>
          </w:divBdr>
        </w:div>
        <w:div w:id="1022587477">
          <w:marLeft w:val="0"/>
          <w:marRight w:val="0"/>
          <w:marTop w:val="0"/>
          <w:marBottom w:val="0"/>
          <w:divBdr>
            <w:top w:val="none" w:sz="0" w:space="0" w:color="auto"/>
            <w:left w:val="none" w:sz="0" w:space="0" w:color="auto"/>
            <w:bottom w:val="none" w:sz="0" w:space="0" w:color="auto"/>
            <w:right w:val="none" w:sz="0" w:space="0" w:color="auto"/>
          </w:divBdr>
        </w:div>
        <w:div w:id="1078670164">
          <w:marLeft w:val="0"/>
          <w:marRight w:val="0"/>
          <w:marTop w:val="0"/>
          <w:marBottom w:val="0"/>
          <w:divBdr>
            <w:top w:val="none" w:sz="0" w:space="0" w:color="auto"/>
            <w:left w:val="none" w:sz="0" w:space="0" w:color="auto"/>
            <w:bottom w:val="none" w:sz="0" w:space="0" w:color="auto"/>
            <w:right w:val="none" w:sz="0" w:space="0" w:color="auto"/>
          </w:divBdr>
        </w:div>
        <w:div w:id="1668630383">
          <w:marLeft w:val="0"/>
          <w:marRight w:val="0"/>
          <w:marTop w:val="0"/>
          <w:marBottom w:val="0"/>
          <w:divBdr>
            <w:top w:val="none" w:sz="0" w:space="0" w:color="auto"/>
            <w:left w:val="none" w:sz="0" w:space="0" w:color="auto"/>
            <w:bottom w:val="none" w:sz="0" w:space="0" w:color="auto"/>
            <w:right w:val="none" w:sz="0" w:space="0" w:color="auto"/>
          </w:divBdr>
        </w:div>
      </w:divsChild>
    </w:div>
    <w:div w:id="1117986193">
      <w:bodyDiv w:val="1"/>
      <w:marLeft w:val="0"/>
      <w:marRight w:val="0"/>
      <w:marTop w:val="0"/>
      <w:marBottom w:val="0"/>
      <w:divBdr>
        <w:top w:val="none" w:sz="0" w:space="0" w:color="auto"/>
        <w:left w:val="none" w:sz="0" w:space="0" w:color="auto"/>
        <w:bottom w:val="none" w:sz="0" w:space="0" w:color="auto"/>
        <w:right w:val="none" w:sz="0" w:space="0" w:color="auto"/>
      </w:divBdr>
    </w:div>
    <w:div w:id="1131289480">
      <w:bodyDiv w:val="1"/>
      <w:marLeft w:val="0"/>
      <w:marRight w:val="0"/>
      <w:marTop w:val="0"/>
      <w:marBottom w:val="0"/>
      <w:divBdr>
        <w:top w:val="none" w:sz="0" w:space="0" w:color="auto"/>
        <w:left w:val="none" w:sz="0" w:space="0" w:color="auto"/>
        <w:bottom w:val="none" w:sz="0" w:space="0" w:color="auto"/>
        <w:right w:val="none" w:sz="0" w:space="0" w:color="auto"/>
      </w:divBdr>
      <w:divsChild>
        <w:div w:id="92163983">
          <w:marLeft w:val="0"/>
          <w:marRight w:val="0"/>
          <w:marTop w:val="0"/>
          <w:marBottom w:val="0"/>
          <w:divBdr>
            <w:top w:val="none" w:sz="0" w:space="0" w:color="auto"/>
            <w:left w:val="none" w:sz="0" w:space="0" w:color="auto"/>
            <w:bottom w:val="none" w:sz="0" w:space="0" w:color="auto"/>
            <w:right w:val="none" w:sz="0" w:space="0" w:color="auto"/>
          </w:divBdr>
        </w:div>
      </w:divsChild>
    </w:div>
    <w:div w:id="1145901416">
      <w:bodyDiv w:val="1"/>
      <w:marLeft w:val="0"/>
      <w:marRight w:val="0"/>
      <w:marTop w:val="0"/>
      <w:marBottom w:val="0"/>
      <w:divBdr>
        <w:top w:val="none" w:sz="0" w:space="0" w:color="auto"/>
        <w:left w:val="none" w:sz="0" w:space="0" w:color="auto"/>
        <w:bottom w:val="none" w:sz="0" w:space="0" w:color="auto"/>
        <w:right w:val="none" w:sz="0" w:space="0" w:color="auto"/>
      </w:divBdr>
    </w:div>
    <w:div w:id="1192449708">
      <w:bodyDiv w:val="1"/>
      <w:marLeft w:val="0"/>
      <w:marRight w:val="0"/>
      <w:marTop w:val="0"/>
      <w:marBottom w:val="0"/>
      <w:divBdr>
        <w:top w:val="none" w:sz="0" w:space="0" w:color="auto"/>
        <w:left w:val="none" w:sz="0" w:space="0" w:color="auto"/>
        <w:bottom w:val="none" w:sz="0" w:space="0" w:color="auto"/>
        <w:right w:val="none" w:sz="0" w:space="0" w:color="auto"/>
      </w:divBdr>
    </w:div>
    <w:div w:id="1201943310">
      <w:bodyDiv w:val="1"/>
      <w:marLeft w:val="0"/>
      <w:marRight w:val="0"/>
      <w:marTop w:val="0"/>
      <w:marBottom w:val="0"/>
      <w:divBdr>
        <w:top w:val="none" w:sz="0" w:space="0" w:color="auto"/>
        <w:left w:val="none" w:sz="0" w:space="0" w:color="auto"/>
        <w:bottom w:val="none" w:sz="0" w:space="0" w:color="auto"/>
        <w:right w:val="none" w:sz="0" w:space="0" w:color="auto"/>
      </w:divBdr>
    </w:div>
    <w:div w:id="1206601683">
      <w:bodyDiv w:val="1"/>
      <w:marLeft w:val="0"/>
      <w:marRight w:val="0"/>
      <w:marTop w:val="0"/>
      <w:marBottom w:val="0"/>
      <w:divBdr>
        <w:top w:val="none" w:sz="0" w:space="0" w:color="auto"/>
        <w:left w:val="none" w:sz="0" w:space="0" w:color="auto"/>
        <w:bottom w:val="none" w:sz="0" w:space="0" w:color="auto"/>
        <w:right w:val="none" w:sz="0" w:space="0" w:color="auto"/>
      </w:divBdr>
    </w:div>
    <w:div w:id="1210996950">
      <w:bodyDiv w:val="1"/>
      <w:marLeft w:val="0"/>
      <w:marRight w:val="0"/>
      <w:marTop w:val="0"/>
      <w:marBottom w:val="0"/>
      <w:divBdr>
        <w:top w:val="none" w:sz="0" w:space="0" w:color="auto"/>
        <w:left w:val="none" w:sz="0" w:space="0" w:color="auto"/>
        <w:bottom w:val="none" w:sz="0" w:space="0" w:color="auto"/>
        <w:right w:val="none" w:sz="0" w:space="0" w:color="auto"/>
      </w:divBdr>
      <w:divsChild>
        <w:div w:id="977608738">
          <w:marLeft w:val="0"/>
          <w:marRight w:val="0"/>
          <w:marTop w:val="0"/>
          <w:marBottom w:val="0"/>
          <w:divBdr>
            <w:top w:val="none" w:sz="0" w:space="0" w:color="auto"/>
            <w:left w:val="none" w:sz="0" w:space="0" w:color="auto"/>
            <w:bottom w:val="none" w:sz="0" w:space="0" w:color="auto"/>
            <w:right w:val="none" w:sz="0" w:space="0" w:color="auto"/>
          </w:divBdr>
          <w:divsChild>
            <w:div w:id="4709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7614">
      <w:bodyDiv w:val="1"/>
      <w:marLeft w:val="0"/>
      <w:marRight w:val="0"/>
      <w:marTop w:val="0"/>
      <w:marBottom w:val="0"/>
      <w:divBdr>
        <w:top w:val="none" w:sz="0" w:space="0" w:color="auto"/>
        <w:left w:val="none" w:sz="0" w:space="0" w:color="auto"/>
        <w:bottom w:val="none" w:sz="0" w:space="0" w:color="auto"/>
        <w:right w:val="none" w:sz="0" w:space="0" w:color="auto"/>
      </w:divBdr>
      <w:divsChild>
        <w:div w:id="1657690046">
          <w:marLeft w:val="0"/>
          <w:marRight w:val="0"/>
          <w:marTop w:val="0"/>
          <w:marBottom w:val="0"/>
          <w:divBdr>
            <w:top w:val="none" w:sz="0" w:space="0" w:color="auto"/>
            <w:left w:val="none" w:sz="0" w:space="0" w:color="auto"/>
            <w:bottom w:val="none" w:sz="0" w:space="0" w:color="auto"/>
            <w:right w:val="none" w:sz="0" w:space="0" w:color="auto"/>
          </w:divBdr>
          <w:divsChild>
            <w:div w:id="506946730">
              <w:marLeft w:val="0"/>
              <w:marRight w:val="0"/>
              <w:marTop w:val="0"/>
              <w:marBottom w:val="0"/>
              <w:divBdr>
                <w:top w:val="none" w:sz="0" w:space="0" w:color="auto"/>
                <w:left w:val="none" w:sz="0" w:space="0" w:color="auto"/>
                <w:bottom w:val="none" w:sz="0" w:space="0" w:color="auto"/>
                <w:right w:val="none" w:sz="0" w:space="0" w:color="auto"/>
              </w:divBdr>
              <w:divsChild>
                <w:div w:id="18541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5377">
      <w:bodyDiv w:val="1"/>
      <w:marLeft w:val="0"/>
      <w:marRight w:val="0"/>
      <w:marTop w:val="0"/>
      <w:marBottom w:val="0"/>
      <w:divBdr>
        <w:top w:val="none" w:sz="0" w:space="0" w:color="auto"/>
        <w:left w:val="none" w:sz="0" w:space="0" w:color="auto"/>
        <w:bottom w:val="none" w:sz="0" w:space="0" w:color="auto"/>
        <w:right w:val="none" w:sz="0" w:space="0" w:color="auto"/>
      </w:divBdr>
    </w:div>
    <w:div w:id="1256402239">
      <w:bodyDiv w:val="1"/>
      <w:marLeft w:val="0"/>
      <w:marRight w:val="0"/>
      <w:marTop w:val="0"/>
      <w:marBottom w:val="0"/>
      <w:divBdr>
        <w:top w:val="none" w:sz="0" w:space="0" w:color="auto"/>
        <w:left w:val="none" w:sz="0" w:space="0" w:color="auto"/>
        <w:bottom w:val="none" w:sz="0" w:space="0" w:color="auto"/>
        <w:right w:val="none" w:sz="0" w:space="0" w:color="auto"/>
      </w:divBdr>
    </w:div>
    <w:div w:id="1258055559">
      <w:bodyDiv w:val="1"/>
      <w:marLeft w:val="0"/>
      <w:marRight w:val="0"/>
      <w:marTop w:val="0"/>
      <w:marBottom w:val="0"/>
      <w:divBdr>
        <w:top w:val="none" w:sz="0" w:space="0" w:color="auto"/>
        <w:left w:val="none" w:sz="0" w:space="0" w:color="auto"/>
        <w:bottom w:val="none" w:sz="0" w:space="0" w:color="auto"/>
        <w:right w:val="none" w:sz="0" w:space="0" w:color="auto"/>
      </w:divBdr>
    </w:div>
    <w:div w:id="1288968148">
      <w:bodyDiv w:val="1"/>
      <w:marLeft w:val="0"/>
      <w:marRight w:val="0"/>
      <w:marTop w:val="0"/>
      <w:marBottom w:val="0"/>
      <w:divBdr>
        <w:top w:val="none" w:sz="0" w:space="0" w:color="auto"/>
        <w:left w:val="none" w:sz="0" w:space="0" w:color="auto"/>
        <w:bottom w:val="none" w:sz="0" w:space="0" w:color="auto"/>
        <w:right w:val="none" w:sz="0" w:space="0" w:color="auto"/>
      </w:divBdr>
    </w:div>
    <w:div w:id="1295526362">
      <w:bodyDiv w:val="1"/>
      <w:marLeft w:val="0"/>
      <w:marRight w:val="0"/>
      <w:marTop w:val="0"/>
      <w:marBottom w:val="0"/>
      <w:divBdr>
        <w:top w:val="none" w:sz="0" w:space="0" w:color="auto"/>
        <w:left w:val="none" w:sz="0" w:space="0" w:color="auto"/>
        <w:bottom w:val="none" w:sz="0" w:space="0" w:color="auto"/>
        <w:right w:val="none" w:sz="0" w:space="0" w:color="auto"/>
      </w:divBdr>
    </w:div>
    <w:div w:id="1340350982">
      <w:bodyDiv w:val="1"/>
      <w:marLeft w:val="0"/>
      <w:marRight w:val="0"/>
      <w:marTop w:val="0"/>
      <w:marBottom w:val="0"/>
      <w:divBdr>
        <w:top w:val="none" w:sz="0" w:space="0" w:color="auto"/>
        <w:left w:val="none" w:sz="0" w:space="0" w:color="auto"/>
        <w:bottom w:val="none" w:sz="0" w:space="0" w:color="auto"/>
        <w:right w:val="none" w:sz="0" w:space="0" w:color="auto"/>
      </w:divBdr>
      <w:divsChild>
        <w:div w:id="741417388">
          <w:marLeft w:val="0"/>
          <w:marRight w:val="0"/>
          <w:marTop w:val="0"/>
          <w:marBottom w:val="0"/>
          <w:divBdr>
            <w:top w:val="none" w:sz="0" w:space="0" w:color="auto"/>
            <w:left w:val="none" w:sz="0" w:space="0" w:color="auto"/>
            <w:bottom w:val="none" w:sz="0" w:space="0" w:color="auto"/>
            <w:right w:val="none" w:sz="0" w:space="0" w:color="auto"/>
          </w:divBdr>
          <w:divsChild>
            <w:div w:id="1011835562">
              <w:marLeft w:val="0"/>
              <w:marRight w:val="0"/>
              <w:marTop w:val="0"/>
              <w:marBottom w:val="0"/>
              <w:divBdr>
                <w:top w:val="none" w:sz="0" w:space="0" w:color="auto"/>
                <w:left w:val="none" w:sz="0" w:space="0" w:color="auto"/>
                <w:bottom w:val="none" w:sz="0" w:space="0" w:color="auto"/>
                <w:right w:val="none" w:sz="0" w:space="0" w:color="auto"/>
              </w:divBdr>
              <w:divsChild>
                <w:div w:id="1389453053">
                  <w:marLeft w:val="0"/>
                  <w:marRight w:val="0"/>
                  <w:marTop w:val="0"/>
                  <w:marBottom w:val="0"/>
                  <w:divBdr>
                    <w:top w:val="none" w:sz="0" w:space="0" w:color="auto"/>
                    <w:left w:val="none" w:sz="0" w:space="0" w:color="auto"/>
                    <w:bottom w:val="none" w:sz="0" w:space="0" w:color="auto"/>
                    <w:right w:val="none" w:sz="0" w:space="0" w:color="auto"/>
                  </w:divBdr>
                  <w:divsChild>
                    <w:div w:id="10034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54605">
      <w:bodyDiv w:val="1"/>
      <w:marLeft w:val="0"/>
      <w:marRight w:val="0"/>
      <w:marTop w:val="0"/>
      <w:marBottom w:val="0"/>
      <w:divBdr>
        <w:top w:val="none" w:sz="0" w:space="0" w:color="auto"/>
        <w:left w:val="none" w:sz="0" w:space="0" w:color="auto"/>
        <w:bottom w:val="none" w:sz="0" w:space="0" w:color="auto"/>
        <w:right w:val="none" w:sz="0" w:space="0" w:color="auto"/>
      </w:divBdr>
    </w:div>
    <w:div w:id="1424885628">
      <w:bodyDiv w:val="1"/>
      <w:marLeft w:val="0"/>
      <w:marRight w:val="0"/>
      <w:marTop w:val="0"/>
      <w:marBottom w:val="0"/>
      <w:divBdr>
        <w:top w:val="none" w:sz="0" w:space="0" w:color="auto"/>
        <w:left w:val="none" w:sz="0" w:space="0" w:color="auto"/>
        <w:bottom w:val="none" w:sz="0" w:space="0" w:color="auto"/>
        <w:right w:val="none" w:sz="0" w:space="0" w:color="auto"/>
      </w:divBdr>
      <w:divsChild>
        <w:div w:id="1949191849">
          <w:marLeft w:val="0"/>
          <w:marRight w:val="0"/>
          <w:marTop w:val="0"/>
          <w:marBottom w:val="0"/>
          <w:divBdr>
            <w:top w:val="none" w:sz="0" w:space="0" w:color="auto"/>
            <w:left w:val="none" w:sz="0" w:space="0" w:color="auto"/>
            <w:bottom w:val="none" w:sz="0" w:space="0" w:color="auto"/>
            <w:right w:val="none" w:sz="0" w:space="0" w:color="auto"/>
          </w:divBdr>
          <w:divsChild>
            <w:div w:id="299573705">
              <w:marLeft w:val="0"/>
              <w:marRight w:val="0"/>
              <w:marTop w:val="0"/>
              <w:marBottom w:val="0"/>
              <w:divBdr>
                <w:top w:val="none" w:sz="0" w:space="0" w:color="auto"/>
                <w:left w:val="none" w:sz="0" w:space="0" w:color="auto"/>
                <w:bottom w:val="none" w:sz="0" w:space="0" w:color="auto"/>
                <w:right w:val="none" w:sz="0" w:space="0" w:color="auto"/>
              </w:divBdr>
            </w:div>
            <w:div w:id="782461425">
              <w:marLeft w:val="0"/>
              <w:marRight w:val="0"/>
              <w:marTop w:val="0"/>
              <w:marBottom w:val="0"/>
              <w:divBdr>
                <w:top w:val="none" w:sz="0" w:space="0" w:color="auto"/>
                <w:left w:val="none" w:sz="0" w:space="0" w:color="auto"/>
                <w:bottom w:val="none" w:sz="0" w:space="0" w:color="auto"/>
                <w:right w:val="none" w:sz="0" w:space="0" w:color="auto"/>
              </w:divBdr>
              <w:divsChild>
                <w:div w:id="1050496776">
                  <w:marLeft w:val="0"/>
                  <w:marRight w:val="0"/>
                  <w:marTop w:val="0"/>
                  <w:marBottom w:val="0"/>
                  <w:divBdr>
                    <w:top w:val="none" w:sz="0" w:space="0" w:color="auto"/>
                    <w:left w:val="none" w:sz="0" w:space="0" w:color="auto"/>
                    <w:bottom w:val="none" w:sz="0" w:space="0" w:color="auto"/>
                    <w:right w:val="none" w:sz="0" w:space="0" w:color="auto"/>
                  </w:divBdr>
                </w:div>
                <w:div w:id="2059669032">
                  <w:marLeft w:val="0"/>
                  <w:marRight w:val="0"/>
                  <w:marTop w:val="0"/>
                  <w:marBottom w:val="0"/>
                  <w:divBdr>
                    <w:top w:val="none" w:sz="0" w:space="0" w:color="auto"/>
                    <w:left w:val="none" w:sz="0" w:space="0" w:color="auto"/>
                    <w:bottom w:val="none" w:sz="0" w:space="0" w:color="auto"/>
                    <w:right w:val="none" w:sz="0" w:space="0" w:color="auto"/>
                  </w:divBdr>
                </w:div>
              </w:divsChild>
            </w:div>
            <w:div w:id="17793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3642">
      <w:bodyDiv w:val="1"/>
      <w:marLeft w:val="0"/>
      <w:marRight w:val="0"/>
      <w:marTop w:val="0"/>
      <w:marBottom w:val="0"/>
      <w:divBdr>
        <w:top w:val="none" w:sz="0" w:space="0" w:color="auto"/>
        <w:left w:val="none" w:sz="0" w:space="0" w:color="auto"/>
        <w:bottom w:val="none" w:sz="0" w:space="0" w:color="auto"/>
        <w:right w:val="none" w:sz="0" w:space="0" w:color="auto"/>
      </w:divBdr>
    </w:div>
    <w:div w:id="1447430227">
      <w:bodyDiv w:val="1"/>
      <w:marLeft w:val="0"/>
      <w:marRight w:val="0"/>
      <w:marTop w:val="0"/>
      <w:marBottom w:val="0"/>
      <w:divBdr>
        <w:top w:val="none" w:sz="0" w:space="0" w:color="auto"/>
        <w:left w:val="none" w:sz="0" w:space="0" w:color="auto"/>
        <w:bottom w:val="none" w:sz="0" w:space="0" w:color="auto"/>
        <w:right w:val="none" w:sz="0" w:space="0" w:color="auto"/>
      </w:divBdr>
    </w:div>
    <w:div w:id="1455560481">
      <w:bodyDiv w:val="1"/>
      <w:marLeft w:val="0"/>
      <w:marRight w:val="0"/>
      <w:marTop w:val="0"/>
      <w:marBottom w:val="0"/>
      <w:divBdr>
        <w:top w:val="none" w:sz="0" w:space="0" w:color="auto"/>
        <w:left w:val="none" w:sz="0" w:space="0" w:color="auto"/>
        <w:bottom w:val="none" w:sz="0" w:space="0" w:color="auto"/>
        <w:right w:val="none" w:sz="0" w:space="0" w:color="auto"/>
      </w:divBdr>
    </w:div>
    <w:div w:id="1527251076">
      <w:bodyDiv w:val="1"/>
      <w:marLeft w:val="0"/>
      <w:marRight w:val="0"/>
      <w:marTop w:val="0"/>
      <w:marBottom w:val="0"/>
      <w:divBdr>
        <w:top w:val="none" w:sz="0" w:space="0" w:color="auto"/>
        <w:left w:val="none" w:sz="0" w:space="0" w:color="auto"/>
        <w:bottom w:val="none" w:sz="0" w:space="0" w:color="auto"/>
        <w:right w:val="none" w:sz="0" w:space="0" w:color="auto"/>
      </w:divBdr>
    </w:div>
    <w:div w:id="1544832829">
      <w:bodyDiv w:val="1"/>
      <w:marLeft w:val="0"/>
      <w:marRight w:val="0"/>
      <w:marTop w:val="0"/>
      <w:marBottom w:val="0"/>
      <w:divBdr>
        <w:top w:val="none" w:sz="0" w:space="0" w:color="auto"/>
        <w:left w:val="none" w:sz="0" w:space="0" w:color="auto"/>
        <w:bottom w:val="none" w:sz="0" w:space="0" w:color="auto"/>
        <w:right w:val="none" w:sz="0" w:space="0" w:color="auto"/>
      </w:divBdr>
    </w:div>
    <w:div w:id="1562059133">
      <w:bodyDiv w:val="1"/>
      <w:marLeft w:val="0"/>
      <w:marRight w:val="0"/>
      <w:marTop w:val="0"/>
      <w:marBottom w:val="0"/>
      <w:divBdr>
        <w:top w:val="none" w:sz="0" w:space="0" w:color="auto"/>
        <w:left w:val="none" w:sz="0" w:space="0" w:color="auto"/>
        <w:bottom w:val="none" w:sz="0" w:space="0" w:color="auto"/>
        <w:right w:val="none" w:sz="0" w:space="0" w:color="auto"/>
      </w:divBdr>
      <w:divsChild>
        <w:div w:id="1282031550">
          <w:marLeft w:val="0"/>
          <w:marRight w:val="0"/>
          <w:marTop w:val="0"/>
          <w:marBottom w:val="0"/>
          <w:divBdr>
            <w:top w:val="none" w:sz="0" w:space="0" w:color="auto"/>
            <w:left w:val="none" w:sz="0" w:space="0" w:color="auto"/>
            <w:bottom w:val="none" w:sz="0" w:space="0" w:color="auto"/>
            <w:right w:val="none" w:sz="0" w:space="0" w:color="auto"/>
          </w:divBdr>
        </w:div>
        <w:div w:id="1947931505">
          <w:marLeft w:val="0"/>
          <w:marRight w:val="0"/>
          <w:marTop w:val="0"/>
          <w:marBottom w:val="0"/>
          <w:divBdr>
            <w:top w:val="none" w:sz="0" w:space="0" w:color="auto"/>
            <w:left w:val="none" w:sz="0" w:space="0" w:color="auto"/>
            <w:bottom w:val="none" w:sz="0" w:space="0" w:color="auto"/>
            <w:right w:val="none" w:sz="0" w:space="0" w:color="auto"/>
          </w:divBdr>
        </w:div>
      </w:divsChild>
    </w:div>
    <w:div w:id="1675760115">
      <w:bodyDiv w:val="1"/>
      <w:marLeft w:val="0"/>
      <w:marRight w:val="0"/>
      <w:marTop w:val="0"/>
      <w:marBottom w:val="0"/>
      <w:divBdr>
        <w:top w:val="none" w:sz="0" w:space="0" w:color="auto"/>
        <w:left w:val="none" w:sz="0" w:space="0" w:color="auto"/>
        <w:bottom w:val="none" w:sz="0" w:space="0" w:color="auto"/>
        <w:right w:val="none" w:sz="0" w:space="0" w:color="auto"/>
      </w:divBdr>
    </w:div>
    <w:div w:id="1680160958">
      <w:bodyDiv w:val="1"/>
      <w:marLeft w:val="0"/>
      <w:marRight w:val="0"/>
      <w:marTop w:val="0"/>
      <w:marBottom w:val="0"/>
      <w:divBdr>
        <w:top w:val="none" w:sz="0" w:space="0" w:color="auto"/>
        <w:left w:val="none" w:sz="0" w:space="0" w:color="auto"/>
        <w:bottom w:val="none" w:sz="0" w:space="0" w:color="auto"/>
        <w:right w:val="none" w:sz="0" w:space="0" w:color="auto"/>
      </w:divBdr>
      <w:divsChild>
        <w:div w:id="544176563">
          <w:marLeft w:val="0"/>
          <w:marRight w:val="0"/>
          <w:marTop w:val="0"/>
          <w:marBottom w:val="0"/>
          <w:divBdr>
            <w:top w:val="none" w:sz="0" w:space="0" w:color="auto"/>
            <w:left w:val="none" w:sz="0" w:space="0" w:color="auto"/>
            <w:bottom w:val="none" w:sz="0" w:space="0" w:color="auto"/>
            <w:right w:val="none" w:sz="0" w:space="0" w:color="auto"/>
          </w:divBdr>
          <w:divsChild>
            <w:div w:id="436143095">
              <w:marLeft w:val="0"/>
              <w:marRight w:val="0"/>
              <w:marTop w:val="0"/>
              <w:marBottom w:val="0"/>
              <w:divBdr>
                <w:top w:val="none" w:sz="0" w:space="0" w:color="auto"/>
                <w:left w:val="none" w:sz="0" w:space="0" w:color="auto"/>
                <w:bottom w:val="none" w:sz="0" w:space="0" w:color="auto"/>
                <w:right w:val="none" w:sz="0" w:space="0" w:color="auto"/>
              </w:divBdr>
              <w:divsChild>
                <w:div w:id="8457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48075">
      <w:bodyDiv w:val="1"/>
      <w:marLeft w:val="0"/>
      <w:marRight w:val="0"/>
      <w:marTop w:val="0"/>
      <w:marBottom w:val="0"/>
      <w:divBdr>
        <w:top w:val="none" w:sz="0" w:space="0" w:color="auto"/>
        <w:left w:val="none" w:sz="0" w:space="0" w:color="auto"/>
        <w:bottom w:val="none" w:sz="0" w:space="0" w:color="auto"/>
        <w:right w:val="none" w:sz="0" w:space="0" w:color="auto"/>
      </w:divBdr>
    </w:div>
    <w:div w:id="1724057870">
      <w:bodyDiv w:val="1"/>
      <w:marLeft w:val="0"/>
      <w:marRight w:val="0"/>
      <w:marTop w:val="0"/>
      <w:marBottom w:val="0"/>
      <w:divBdr>
        <w:top w:val="none" w:sz="0" w:space="0" w:color="auto"/>
        <w:left w:val="none" w:sz="0" w:space="0" w:color="auto"/>
        <w:bottom w:val="none" w:sz="0" w:space="0" w:color="auto"/>
        <w:right w:val="none" w:sz="0" w:space="0" w:color="auto"/>
      </w:divBdr>
      <w:divsChild>
        <w:div w:id="1360812578">
          <w:marLeft w:val="0"/>
          <w:marRight w:val="0"/>
          <w:marTop w:val="90"/>
          <w:marBottom w:val="0"/>
          <w:divBdr>
            <w:top w:val="none" w:sz="0" w:space="0" w:color="auto"/>
            <w:left w:val="none" w:sz="0" w:space="0" w:color="auto"/>
            <w:bottom w:val="none" w:sz="0" w:space="0" w:color="auto"/>
            <w:right w:val="none" w:sz="0" w:space="0" w:color="auto"/>
          </w:divBdr>
          <w:divsChild>
            <w:div w:id="600065218">
              <w:marLeft w:val="0"/>
              <w:marRight w:val="0"/>
              <w:marTop w:val="0"/>
              <w:marBottom w:val="0"/>
              <w:divBdr>
                <w:top w:val="none" w:sz="0" w:space="0" w:color="auto"/>
                <w:left w:val="none" w:sz="0" w:space="0" w:color="auto"/>
                <w:bottom w:val="none" w:sz="0" w:space="0" w:color="auto"/>
                <w:right w:val="none" w:sz="0" w:space="0" w:color="auto"/>
              </w:divBdr>
              <w:divsChild>
                <w:div w:id="307172981">
                  <w:marLeft w:val="0"/>
                  <w:marRight w:val="0"/>
                  <w:marTop w:val="0"/>
                  <w:marBottom w:val="0"/>
                  <w:divBdr>
                    <w:top w:val="none" w:sz="0" w:space="0" w:color="auto"/>
                    <w:left w:val="none" w:sz="0" w:space="0" w:color="auto"/>
                    <w:bottom w:val="none" w:sz="0" w:space="0" w:color="auto"/>
                    <w:right w:val="none" w:sz="0" w:space="0" w:color="auto"/>
                  </w:divBdr>
                  <w:divsChild>
                    <w:div w:id="605892161">
                      <w:marLeft w:val="0"/>
                      <w:marRight w:val="0"/>
                      <w:marTop w:val="0"/>
                      <w:marBottom w:val="390"/>
                      <w:divBdr>
                        <w:top w:val="none" w:sz="0" w:space="0" w:color="auto"/>
                        <w:left w:val="none" w:sz="0" w:space="0" w:color="auto"/>
                        <w:bottom w:val="none" w:sz="0" w:space="0" w:color="auto"/>
                        <w:right w:val="none" w:sz="0" w:space="0" w:color="auto"/>
                      </w:divBdr>
                      <w:divsChild>
                        <w:div w:id="982270324">
                          <w:marLeft w:val="0"/>
                          <w:marRight w:val="0"/>
                          <w:marTop w:val="0"/>
                          <w:marBottom w:val="0"/>
                          <w:divBdr>
                            <w:top w:val="none" w:sz="0" w:space="0" w:color="auto"/>
                            <w:left w:val="none" w:sz="0" w:space="0" w:color="auto"/>
                            <w:bottom w:val="none" w:sz="0" w:space="0" w:color="auto"/>
                            <w:right w:val="none" w:sz="0" w:space="0" w:color="auto"/>
                          </w:divBdr>
                          <w:divsChild>
                            <w:div w:id="1910265987">
                              <w:marLeft w:val="0"/>
                              <w:marRight w:val="0"/>
                              <w:marTop w:val="0"/>
                              <w:marBottom w:val="0"/>
                              <w:divBdr>
                                <w:top w:val="none" w:sz="0" w:space="0" w:color="auto"/>
                                <w:left w:val="none" w:sz="0" w:space="0" w:color="auto"/>
                                <w:bottom w:val="none" w:sz="0" w:space="0" w:color="auto"/>
                                <w:right w:val="none" w:sz="0" w:space="0" w:color="auto"/>
                              </w:divBdr>
                              <w:divsChild>
                                <w:div w:id="8765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761434">
      <w:bodyDiv w:val="1"/>
      <w:marLeft w:val="0"/>
      <w:marRight w:val="0"/>
      <w:marTop w:val="0"/>
      <w:marBottom w:val="0"/>
      <w:divBdr>
        <w:top w:val="none" w:sz="0" w:space="0" w:color="auto"/>
        <w:left w:val="none" w:sz="0" w:space="0" w:color="auto"/>
        <w:bottom w:val="none" w:sz="0" w:space="0" w:color="auto"/>
        <w:right w:val="none" w:sz="0" w:space="0" w:color="auto"/>
      </w:divBdr>
      <w:divsChild>
        <w:div w:id="711075792">
          <w:marLeft w:val="0"/>
          <w:marRight w:val="0"/>
          <w:marTop w:val="0"/>
          <w:marBottom w:val="0"/>
          <w:divBdr>
            <w:top w:val="none" w:sz="0" w:space="0" w:color="auto"/>
            <w:left w:val="none" w:sz="0" w:space="0" w:color="auto"/>
            <w:bottom w:val="none" w:sz="0" w:space="0" w:color="auto"/>
            <w:right w:val="none" w:sz="0" w:space="0" w:color="auto"/>
          </w:divBdr>
        </w:div>
      </w:divsChild>
    </w:div>
    <w:div w:id="1744141311">
      <w:bodyDiv w:val="1"/>
      <w:marLeft w:val="0"/>
      <w:marRight w:val="0"/>
      <w:marTop w:val="0"/>
      <w:marBottom w:val="0"/>
      <w:divBdr>
        <w:top w:val="none" w:sz="0" w:space="0" w:color="auto"/>
        <w:left w:val="none" w:sz="0" w:space="0" w:color="auto"/>
        <w:bottom w:val="none" w:sz="0" w:space="0" w:color="auto"/>
        <w:right w:val="none" w:sz="0" w:space="0" w:color="auto"/>
      </w:divBdr>
    </w:div>
    <w:div w:id="1748720844">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1">
          <w:marLeft w:val="0"/>
          <w:marRight w:val="0"/>
          <w:marTop w:val="0"/>
          <w:marBottom w:val="0"/>
          <w:divBdr>
            <w:top w:val="none" w:sz="0" w:space="0" w:color="auto"/>
            <w:left w:val="none" w:sz="0" w:space="0" w:color="auto"/>
            <w:bottom w:val="none" w:sz="0" w:space="0" w:color="auto"/>
            <w:right w:val="none" w:sz="0" w:space="0" w:color="auto"/>
          </w:divBdr>
          <w:divsChild>
            <w:div w:id="23487765">
              <w:marLeft w:val="0"/>
              <w:marRight w:val="0"/>
              <w:marTop w:val="0"/>
              <w:marBottom w:val="0"/>
              <w:divBdr>
                <w:top w:val="none" w:sz="0" w:space="0" w:color="auto"/>
                <w:left w:val="none" w:sz="0" w:space="0" w:color="auto"/>
                <w:bottom w:val="none" w:sz="0" w:space="0" w:color="auto"/>
                <w:right w:val="none" w:sz="0" w:space="0" w:color="auto"/>
              </w:divBdr>
            </w:div>
            <w:div w:id="196889614">
              <w:marLeft w:val="0"/>
              <w:marRight w:val="0"/>
              <w:marTop w:val="0"/>
              <w:marBottom w:val="0"/>
              <w:divBdr>
                <w:top w:val="none" w:sz="0" w:space="0" w:color="auto"/>
                <w:left w:val="none" w:sz="0" w:space="0" w:color="auto"/>
                <w:bottom w:val="none" w:sz="0" w:space="0" w:color="auto"/>
                <w:right w:val="none" w:sz="0" w:space="0" w:color="auto"/>
              </w:divBdr>
            </w:div>
            <w:div w:id="196936889">
              <w:marLeft w:val="0"/>
              <w:marRight w:val="0"/>
              <w:marTop w:val="0"/>
              <w:marBottom w:val="0"/>
              <w:divBdr>
                <w:top w:val="none" w:sz="0" w:space="0" w:color="auto"/>
                <w:left w:val="none" w:sz="0" w:space="0" w:color="auto"/>
                <w:bottom w:val="none" w:sz="0" w:space="0" w:color="auto"/>
                <w:right w:val="none" w:sz="0" w:space="0" w:color="auto"/>
              </w:divBdr>
            </w:div>
            <w:div w:id="218518573">
              <w:marLeft w:val="0"/>
              <w:marRight w:val="0"/>
              <w:marTop w:val="0"/>
              <w:marBottom w:val="0"/>
              <w:divBdr>
                <w:top w:val="none" w:sz="0" w:space="0" w:color="auto"/>
                <w:left w:val="none" w:sz="0" w:space="0" w:color="auto"/>
                <w:bottom w:val="none" w:sz="0" w:space="0" w:color="auto"/>
                <w:right w:val="none" w:sz="0" w:space="0" w:color="auto"/>
              </w:divBdr>
            </w:div>
            <w:div w:id="308705775">
              <w:marLeft w:val="0"/>
              <w:marRight w:val="0"/>
              <w:marTop w:val="0"/>
              <w:marBottom w:val="0"/>
              <w:divBdr>
                <w:top w:val="none" w:sz="0" w:space="0" w:color="auto"/>
                <w:left w:val="none" w:sz="0" w:space="0" w:color="auto"/>
                <w:bottom w:val="none" w:sz="0" w:space="0" w:color="auto"/>
                <w:right w:val="none" w:sz="0" w:space="0" w:color="auto"/>
              </w:divBdr>
            </w:div>
            <w:div w:id="318658685">
              <w:marLeft w:val="0"/>
              <w:marRight w:val="0"/>
              <w:marTop w:val="0"/>
              <w:marBottom w:val="0"/>
              <w:divBdr>
                <w:top w:val="none" w:sz="0" w:space="0" w:color="auto"/>
                <w:left w:val="none" w:sz="0" w:space="0" w:color="auto"/>
                <w:bottom w:val="none" w:sz="0" w:space="0" w:color="auto"/>
                <w:right w:val="none" w:sz="0" w:space="0" w:color="auto"/>
              </w:divBdr>
            </w:div>
            <w:div w:id="597444743">
              <w:marLeft w:val="0"/>
              <w:marRight w:val="0"/>
              <w:marTop w:val="0"/>
              <w:marBottom w:val="0"/>
              <w:divBdr>
                <w:top w:val="none" w:sz="0" w:space="0" w:color="auto"/>
                <w:left w:val="none" w:sz="0" w:space="0" w:color="auto"/>
                <w:bottom w:val="none" w:sz="0" w:space="0" w:color="auto"/>
                <w:right w:val="none" w:sz="0" w:space="0" w:color="auto"/>
              </w:divBdr>
            </w:div>
            <w:div w:id="1314329127">
              <w:marLeft w:val="0"/>
              <w:marRight w:val="0"/>
              <w:marTop w:val="0"/>
              <w:marBottom w:val="0"/>
              <w:divBdr>
                <w:top w:val="none" w:sz="0" w:space="0" w:color="auto"/>
                <w:left w:val="none" w:sz="0" w:space="0" w:color="auto"/>
                <w:bottom w:val="none" w:sz="0" w:space="0" w:color="auto"/>
                <w:right w:val="none" w:sz="0" w:space="0" w:color="auto"/>
              </w:divBdr>
            </w:div>
            <w:div w:id="1323505325">
              <w:marLeft w:val="0"/>
              <w:marRight w:val="0"/>
              <w:marTop w:val="0"/>
              <w:marBottom w:val="0"/>
              <w:divBdr>
                <w:top w:val="none" w:sz="0" w:space="0" w:color="auto"/>
                <w:left w:val="none" w:sz="0" w:space="0" w:color="auto"/>
                <w:bottom w:val="none" w:sz="0" w:space="0" w:color="auto"/>
                <w:right w:val="none" w:sz="0" w:space="0" w:color="auto"/>
              </w:divBdr>
            </w:div>
            <w:div w:id="1513106874">
              <w:marLeft w:val="0"/>
              <w:marRight w:val="0"/>
              <w:marTop w:val="0"/>
              <w:marBottom w:val="0"/>
              <w:divBdr>
                <w:top w:val="none" w:sz="0" w:space="0" w:color="auto"/>
                <w:left w:val="none" w:sz="0" w:space="0" w:color="auto"/>
                <w:bottom w:val="none" w:sz="0" w:space="0" w:color="auto"/>
                <w:right w:val="none" w:sz="0" w:space="0" w:color="auto"/>
              </w:divBdr>
            </w:div>
            <w:div w:id="1529218889">
              <w:marLeft w:val="0"/>
              <w:marRight w:val="0"/>
              <w:marTop w:val="0"/>
              <w:marBottom w:val="0"/>
              <w:divBdr>
                <w:top w:val="none" w:sz="0" w:space="0" w:color="auto"/>
                <w:left w:val="none" w:sz="0" w:space="0" w:color="auto"/>
                <w:bottom w:val="none" w:sz="0" w:space="0" w:color="auto"/>
                <w:right w:val="none" w:sz="0" w:space="0" w:color="auto"/>
              </w:divBdr>
            </w:div>
            <w:div w:id="19872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36307">
      <w:bodyDiv w:val="1"/>
      <w:marLeft w:val="0"/>
      <w:marRight w:val="0"/>
      <w:marTop w:val="0"/>
      <w:marBottom w:val="0"/>
      <w:divBdr>
        <w:top w:val="none" w:sz="0" w:space="0" w:color="auto"/>
        <w:left w:val="none" w:sz="0" w:space="0" w:color="auto"/>
        <w:bottom w:val="none" w:sz="0" w:space="0" w:color="auto"/>
        <w:right w:val="none" w:sz="0" w:space="0" w:color="auto"/>
      </w:divBdr>
    </w:div>
    <w:div w:id="1777019259">
      <w:bodyDiv w:val="1"/>
      <w:marLeft w:val="0"/>
      <w:marRight w:val="0"/>
      <w:marTop w:val="0"/>
      <w:marBottom w:val="0"/>
      <w:divBdr>
        <w:top w:val="none" w:sz="0" w:space="0" w:color="auto"/>
        <w:left w:val="none" w:sz="0" w:space="0" w:color="auto"/>
        <w:bottom w:val="none" w:sz="0" w:space="0" w:color="auto"/>
        <w:right w:val="none" w:sz="0" w:space="0" w:color="auto"/>
      </w:divBdr>
      <w:divsChild>
        <w:div w:id="1192450170">
          <w:marLeft w:val="0"/>
          <w:marRight w:val="0"/>
          <w:marTop w:val="0"/>
          <w:marBottom w:val="0"/>
          <w:divBdr>
            <w:top w:val="none" w:sz="0" w:space="0" w:color="auto"/>
            <w:left w:val="none" w:sz="0" w:space="0" w:color="auto"/>
            <w:bottom w:val="none" w:sz="0" w:space="0" w:color="auto"/>
            <w:right w:val="none" w:sz="0" w:space="0" w:color="auto"/>
          </w:divBdr>
          <w:divsChild>
            <w:div w:id="380860533">
              <w:marLeft w:val="0"/>
              <w:marRight w:val="0"/>
              <w:marTop w:val="0"/>
              <w:marBottom w:val="0"/>
              <w:divBdr>
                <w:top w:val="none" w:sz="0" w:space="0" w:color="auto"/>
                <w:left w:val="none" w:sz="0" w:space="0" w:color="auto"/>
                <w:bottom w:val="none" w:sz="0" w:space="0" w:color="auto"/>
                <w:right w:val="none" w:sz="0" w:space="0" w:color="auto"/>
              </w:divBdr>
              <w:divsChild>
                <w:div w:id="2114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6585">
      <w:bodyDiv w:val="1"/>
      <w:marLeft w:val="0"/>
      <w:marRight w:val="0"/>
      <w:marTop w:val="0"/>
      <w:marBottom w:val="0"/>
      <w:divBdr>
        <w:top w:val="none" w:sz="0" w:space="0" w:color="auto"/>
        <w:left w:val="none" w:sz="0" w:space="0" w:color="auto"/>
        <w:bottom w:val="none" w:sz="0" w:space="0" w:color="auto"/>
        <w:right w:val="none" w:sz="0" w:space="0" w:color="auto"/>
      </w:divBdr>
    </w:div>
    <w:div w:id="1811364643">
      <w:bodyDiv w:val="1"/>
      <w:marLeft w:val="0"/>
      <w:marRight w:val="0"/>
      <w:marTop w:val="0"/>
      <w:marBottom w:val="0"/>
      <w:divBdr>
        <w:top w:val="none" w:sz="0" w:space="0" w:color="auto"/>
        <w:left w:val="none" w:sz="0" w:space="0" w:color="auto"/>
        <w:bottom w:val="none" w:sz="0" w:space="0" w:color="auto"/>
        <w:right w:val="none" w:sz="0" w:space="0" w:color="auto"/>
      </w:divBdr>
      <w:divsChild>
        <w:div w:id="780418559">
          <w:marLeft w:val="0"/>
          <w:marRight w:val="0"/>
          <w:marTop w:val="0"/>
          <w:marBottom w:val="0"/>
          <w:divBdr>
            <w:top w:val="none" w:sz="0" w:space="0" w:color="auto"/>
            <w:left w:val="none" w:sz="0" w:space="0" w:color="auto"/>
            <w:bottom w:val="none" w:sz="0" w:space="0" w:color="auto"/>
            <w:right w:val="none" w:sz="0" w:space="0" w:color="auto"/>
          </w:divBdr>
          <w:divsChild>
            <w:div w:id="1667979548">
              <w:marLeft w:val="0"/>
              <w:marRight w:val="0"/>
              <w:marTop w:val="0"/>
              <w:marBottom w:val="0"/>
              <w:divBdr>
                <w:top w:val="none" w:sz="0" w:space="0" w:color="auto"/>
                <w:left w:val="none" w:sz="0" w:space="0" w:color="auto"/>
                <w:bottom w:val="none" w:sz="0" w:space="0" w:color="auto"/>
                <w:right w:val="none" w:sz="0" w:space="0" w:color="auto"/>
              </w:divBdr>
              <w:divsChild>
                <w:div w:id="84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8571">
      <w:bodyDiv w:val="1"/>
      <w:marLeft w:val="0"/>
      <w:marRight w:val="0"/>
      <w:marTop w:val="0"/>
      <w:marBottom w:val="0"/>
      <w:divBdr>
        <w:top w:val="none" w:sz="0" w:space="0" w:color="auto"/>
        <w:left w:val="none" w:sz="0" w:space="0" w:color="auto"/>
        <w:bottom w:val="none" w:sz="0" w:space="0" w:color="auto"/>
        <w:right w:val="none" w:sz="0" w:space="0" w:color="auto"/>
      </w:divBdr>
    </w:div>
    <w:div w:id="1835533818">
      <w:bodyDiv w:val="1"/>
      <w:marLeft w:val="0"/>
      <w:marRight w:val="0"/>
      <w:marTop w:val="0"/>
      <w:marBottom w:val="0"/>
      <w:divBdr>
        <w:top w:val="none" w:sz="0" w:space="0" w:color="auto"/>
        <w:left w:val="none" w:sz="0" w:space="0" w:color="auto"/>
        <w:bottom w:val="none" w:sz="0" w:space="0" w:color="auto"/>
        <w:right w:val="none" w:sz="0" w:space="0" w:color="auto"/>
      </w:divBdr>
      <w:divsChild>
        <w:div w:id="947195934">
          <w:marLeft w:val="0"/>
          <w:marRight w:val="0"/>
          <w:marTop w:val="0"/>
          <w:marBottom w:val="0"/>
          <w:divBdr>
            <w:top w:val="none" w:sz="0" w:space="0" w:color="auto"/>
            <w:left w:val="none" w:sz="0" w:space="0" w:color="auto"/>
            <w:bottom w:val="none" w:sz="0" w:space="0" w:color="auto"/>
            <w:right w:val="none" w:sz="0" w:space="0" w:color="auto"/>
          </w:divBdr>
          <w:divsChild>
            <w:div w:id="69891306">
              <w:marLeft w:val="0"/>
              <w:marRight w:val="0"/>
              <w:marTop w:val="0"/>
              <w:marBottom w:val="0"/>
              <w:divBdr>
                <w:top w:val="none" w:sz="0" w:space="0" w:color="auto"/>
                <w:left w:val="none" w:sz="0" w:space="0" w:color="auto"/>
                <w:bottom w:val="none" w:sz="0" w:space="0" w:color="auto"/>
                <w:right w:val="none" w:sz="0" w:space="0" w:color="auto"/>
              </w:divBdr>
            </w:div>
            <w:div w:id="123692641">
              <w:marLeft w:val="0"/>
              <w:marRight w:val="0"/>
              <w:marTop w:val="0"/>
              <w:marBottom w:val="0"/>
              <w:divBdr>
                <w:top w:val="none" w:sz="0" w:space="0" w:color="auto"/>
                <w:left w:val="none" w:sz="0" w:space="0" w:color="auto"/>
                <w:bottom w:val="none" w:sz="0" w:space="0" w:color="auto"/>
                <w:right w:val="none" w:sz="0" w:space="0" w:color="auto"/>
              </w:divBdr>
            </w:div>
            <w:div w:id="318536477">
              <w:marLeft w:val="0"/>
              <w:marRight w:val="0"/>
              <w:marTop w:val="0"/>
              <w:marBottom w:val="0"/>
              <w:divBdr>
                <w:top w:val="none" w:sz="0" w:space="0" w:color="auto"/>
                <w:left w:val="none" w:sz="0" w:space="0" w:color="auto"/>
                <w:bottom w:val="none" w:sz="0" w:space="0" w:color="auto"/>
                <w:right w:val="none" w:sz="0" w:space="0" w:color="auto"/>
              </w:divBdr>
            </w:div>
            <w:div w:id="964578315">
              <w:marLeft w:val="0"/>
              <w:marRight w:val="0"/>
              <w:marTop w:val="0"/>
              <w:marBottom w:val="0"/>
              <w:divBdr>
                <w:top w:val="none" w:sz="0" w:space="0" w:color="auto"/>
                <w:left w:val="none" w:sz="0" w:space="0" w:color="auto"/>
                <w:bottom w:val="none" w:sz="0" w:space="0" w:color="auto"/>
                <w:right w:val="none" w:sz="0" w:space="0" w:color="auto"/>
              </w:divBdr>
            </w:div>
            <w:div w:id="1170172595">
              <w:marLeft w:val="0"/>
              <w:marRight w:val="0"/>
              <w:marTop w:val="0"/>
              <w:marBottom w:val="0"/>
              <w:divBdr>
                <w:top w:val="none" w:sz="0" w:space="0" w:color="auto"/>
                <w:left w:val="none" w:sz="0" w:space="0" w:color="auto"/>
                <w:bottom w:val="none" w:sz="0" w:space="0" w:color="auto"/>
                <w:right w:val="none" w:sz="0" w:space="0" w:color="auto"/>
              </w:divBdr>
            </w:div>
            <w:div w:id="1639603740">
              <w:marLeft w:val="0"/>
              <w:marRight w:val="0"/>
              <w:marTop w:val="0"/>
              <w:marBottom w:val="0"/>
              <w:divBdr>
                <w:top w:val="none" w:sz="0" w:space="0" w:color="auto"/>
                <w:left w:val="none" w:sz="0" w:space="0" w:color="auto"/>
                <w:bottom w:val="none" w:sz="0" w:space="0" w:color="auto"/>
                <w:right w:val="none" w:sz="0" w:space="0" w:color="auto"/>
              </w:divBdr>
            </w:div>
            <w:div w:id="1727878208">
              <w:marLeft w:val="0"/>
              <w:marRight w:val="0"/>
              <w:marTop w:val="0"/>
              <w:marBottom w:val="0"/>
              <w:divBdr>
                <w:top w:val="none" w:sz="0" w:space="0" w:color="auto"/>
                <w:left w:val="none" w:sz="0" w:space="0" w:color="auto"/>
                <w:bottom w:val="none" w:sz="0" w:space="0" w:color="auto"/>
                <w:right w:val="none" w:sz="0" w:space="0" w:color="auto"/>
              </w:divBdr>
            </w:div>
            <w:div w:id="1831363281">
              <w:marLeft w:val="0"/>
              <w:marRight w:val="0"/>
              <w:marTop w:val="0"/>
              <w:marBottom w:val="0"/>
              <w:divBdr>
                <w:top w:val="none" w:sz="0" w:space="0" w:color="auto"/>
                <w:left w:val="none" w:sz="0" w:space="0" w:color="auto"/>
                <w:bottom w:val="none" w:sz="0" w:space="0" w:color="auto"/>
                <w:right w:val="none" w:sz="0" w:space="0" w:color="auto"/>
              </w:divBdr>
            </w:div>
            <w:div w:id="21066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5902">
      <w:bodyDiv w:val="1"/>
      <w:marLeft w:val="0"/>
      <w:marRight w:val="0"/>
      <w:marTop w:val="0"/>
      <w:marBottom w:val="0"/>
      <w:divBdr>
        <w:top w:val="none" w:sz="0" w:space="0" w:color="auto"/>
        <w:left w:val="none" w:sz="0" w:space="0" w:color="auto"/>
        <w:bottom w:val="none" w:sz="0" w:space="0" w:color="auto"/>
        <w:right w:val="none" w:sz="0" w:space="0" w:color="auto"/>
      </w:divBdr>
    </w:div>
    <w:div w:id="1872067365">
      <w:bodyDiv w:val="1"/>
      <w:marLeft w:val="0"/>
      <w:marRight w:val="0"/>
      <w:marTop w:val="0"/>
      <w:marBottom w:val="0"/>
      <w:divBdr>
        <w:top w:val="none" w:sz="0" w:space="0" w:color="auto"/>
        <w:left w:val="none" w:sz="0" w:space="0" w:color="auto"/>
        <w:bottom w:val="none" w:sz="0" w:space="0" w:color="auto"/>
        <w:right w:val="none" w:sz="0" w:space="0" w:color="auto"/>
      </w:divBdr>
    </w:div>
    <w:div w:id="1875264475">
      <w:bodyDiv w:val="1"/>
      <w:marLeft w:val="0"/>
      <w:marRight w:val="0"/>
      <w:marTop w:val="0"/>
      <w:marBottom w:val="0"/>
      <w:divBdr>
        <w:top w:val="none" w:sz="0" w:space="0" w:color="auto"/>
        <w:left w:val="none" w:sz="0" w:space="0" w:color="auto"/>
        <w:bottom w:val="none" w:sz="0" w:space="0" w:color="auto"/>
        <w:right w:val="none" w:sz="0" w:space="0" w:color="auto"/>
      </w:divBdr>
    </w:div>
    <w:div w:id="1992784240">
      <w:bodyDiv w:val="1"/>
      <w:marLeft w:val="0"/>
      <w:marRight w:val="0"/>
      <w:marTop w:val="0"/>
      <w:marBottom w:val="0"/>
      <w:divBdr>
        <w:top w:val="none" w:sz="0" w:space="0" w:color="auto"/>
        <w:left w:val="none" w:sz="0" w:space="0" w:color="auto"/>
        <w:bottom w:val="none" w:sz="0" w:space="0" w:color="auto"/>
        <w:right w:val="none" w:sz="0" w:space="0" w:color="auto"/>
      </w:divBdr>
    </w:div>
    <w:div w:id="1997226405">
      <w:bodyDiv w:val="1"/>
      <w:marLeft w:val="0"/>
      <w:marRight w:val="0"/>
      <w:marTop w:val="0"/>
      <w:marBottom w:val="0"/>
      <w:divBdr>
        <w:top w:val="none" w:sz="0" w:space="0" w:color="auto"/>
        <w:left w:val="none" w:sz="0" w:space="0" w:color="auto"/>
        <w:bottom w:val="none" w:sz="0" w:space="0" w:color="auto"/>
        <w:right w:val="none" w:sz="0" w:space="0" w:color="auto"/>
      </w:divBdr>
    </w:div>
    <w:div w:id="2029286690">
      <w:bodyDiv w:val="1"/>
      <w:marLeft w:val="0"/>
      <w:marRight w:val="0"/>
      <w:marTop w:val="0"/>
      <w:marBottom w:val="0"/>
      <w:divBdr>
        <w:top w:val="none" w:sz="0" w:space="0" w:color="auto"/>
        <w:left w:val="none" w:sz="0" w:space="0" w:color="auto"/>
        <w:bottom w:val="none" w:sz="0" w:space="0" w:color="auto"/>
        <w:right w:val="none" w:sz="0" w:space="0" w:color="auto"/>
      </w:divBdr>
      <w:divsChild>
        <w:div w:id="1302077295">
          <w:marLeft w:val="0"/>
          <w:marRight w:val="0"/>
          <w:marTop w:val="0"/>
          <w:marBottom w:val="0"/>
          <w:divBdr>
            <w:top w:val="none" w:sz="0" w:space="0" w:color="auto"/>
            <w:left w:val="none" w:sz="0" w:space="0" w:color="auto"/>
            <w:bottom w:val="none" w:sz="0" w:space="0" w:color="auto"/>
            <w:right w:val="none" w:sz="0" w:space="0" w:color="auto"/>
          </w:divBdr>
          <w:divsChild>
            <w:div w:id="822090589">
              <w:marLeft w:val="0"/>
              <w:marRight w:val="0"/>
              <w:marTop w:val="0"/>
              <w:marBottom w:val="0"/>
              <w:divBdr>
                <w:top w:val="none" w:sz="0" w:space="0" w:color="auto"/>
                <w:left w:val="none" w:sz="0" w:space="0" w:color="auto"/>
                <w:bottom w:val="none" w:sz="0" w:space="0" w:color="auto"/>
                <w:right w:val="none" w:sz="0" w:space="0" w:color="auto"/>
              </w:divBdr>
              <w:divsChild>
                <w:div w:id="16494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0717">
      <w:bodyDiv w:val="1"/>
      <w:marLeft w:val="0"/>
      <w:marRight w:val="0"/>
      <w:marTop w:val="0"/>
      <w:marBottom w:val="0"/>
      <w:divBdr>
        <w:top w:val="none" w:sz="0" w:space="0" w:color="auto"/>
        <w:left w:val="none" w:sz="0" w:space="0" w:color="auto"/>
        <w:bottom w:val="none" w:sz="0" w:space="0" w:color="auto"/>
        <w:right w:val="none" w:sz="0" w:space="0" w:color="auto"/>
      </w:divBdr>
    </w:div>
    <w:div w:id="210842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yperlink" Target="http://irle.berkeley.edu/workingpapers/121-15.pdf"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www.rsfjournal.org/doi/abs/10.7758/RSF.2016.2.6.0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isdatacenter.org/wps/lwswps/24.pdf" TargetMode="External"/><Relationship Id="rId20" Type="http://schemas.openxmlformats.org/officeDocument/2006/relationships/hyperlink" Target="https://doi.org/10.1111/j.1475-5890.2016.120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0.png"/><Relationship Id="rId10" Type="http://schemas.openxmlformats.org/officeDocument/2006/relationships/image" Target="media/image2.tiff"/><Relationship Id="rId19" Type="http://schemas.openxmlformats.org/officeDocument/2006/relationships/hyperlink" Target="https://www.mysciencework.com/publication/show/f2bf5049a19312902934c84321079932"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9.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C98E-B204-7246-840B-D4CFDF2F3D6E}">
  <ds:schemaRefs>
    <ds:schemaRef ds:uri="http://schemas.openxmlformats.org/officeDocument/2006/bibliography"/>
  </ds:schemaRefs>
</ds:datastoreItem>
</file>

<file path=customXml/itemProps2.xml><?xml version="1.0" encoding="utf-8"?>
<ds:datastoreItem xmlns:ds="http://schemas.openxmlformats.org/officeDocument/2006/customXml" ds:itemID="{9144EF00-1659-0749-8836-9B671467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5437</Words>
  <Characters>30996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alpbetgam</vt:lpstr>
    </vt:vector>
  </TitlesOfParts>
  <Company>ofce</Company>
  <LinksUpToDate>false</LinksUpToDate>
  <CharactersWithSpaces>36361</CharactersWithSpaces>
  <SharedDoc>false</SharedDoc>
  <HLinks>
    <vt:vector size="6" baseType="variant">
      <vt:variant>
        <vt:i4>4980778</vt:i4>
      </vt:variant>
      <vt:variant>
        <vt:i4>0</vt:i4>
      </vt:variant>
      <vt:variant>
        <vt:i4>0</vt:i4>
      </vt:variant>
      <vt:variant>
        <vt:i4>5</vt:i4>
      </vt:variant>
      <vt:variant>
        <vt:lpwstr>http://www.iso.org/iso/country_codes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alpbetgam</dc:title>
  <dc:creator>chauvel</dc:creator>
  <cp:lastModifiedBy>Anne HARTUNG</cp:lastModifiedBy>
  <cp:revision>5</cp:revision>
  <cp:lastPrinted>2018-04-26T13:01:00Z</cp:lastPrinted>
  <dcterms:created xsi:type="dcterms:W3CDTF">2018-04-27T07:47:00Z</dcterms:created>
  <dcterms:modified xsi:type="dcterms:W3CDTF">2018-04-27T07:48:00Z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id="Wz0RhlW2"/&gt;&lt;style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