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F8D58" w14:textId="2161691F" w:rsidR="00136EBB" w:rsidRPr="00E233B9" w:rsidRDefault="00CA6339" w:rsidP="00E233B9">
      <w:pPr>
        <w:spacing w:line="276" w:lineRule="auto"/>
        <w:rPr>
          <w:rFonts w:asciiTheme="minorHAnsi" w:hAnsiTheme="minorHAnsi" w:cstheme="minorHAnsi"/>
          <w:b/>
          <w:lang w:val="en-US"/>
        </w:rPr>
      </w:pPr>
      <w:r w:rsidRPr="00E233B9">
        <w:rPr>
          <w:rFonts w:asciiTheme="minorHAnsi" w:hAnsiTheme="minorHAnsi" w:cstheme="minorHAnsi"/>
          <w:lang w:val="en-US"/>
        </w:rPr>
        <w:t>International Sociological Association</w:t>
      </w:r>
      <w:r w:rsidR="00136EBB" w:rsidRPr="00E233B9">
        <w:rPr>
          <w:rFonts w:asciiTheme="minorHAnsi" w:hAnsiTheme="minorHAnsi" w:cstheme="minorHAnsi"/>
          <w:lang w:val="en-US"/>
        </w:rPr>
        <w:t xml:space="preserve"> (ISA) </w:t>
      </w:r>
      <w:r w:rsidR="00B04D65">
        <w:rPr>
          <w:rFonts w:asciiTheme="minorHAnsi" w:hAnsiTheme="minorHAnsi" w:cstheme="minorHAnsi"/>
          <w:lang w:val="en-US"/>
        </w:rPr>
        <w:t xml:space="preserve">- </w:t>
      </w:r>
      <w:r w:rsidRPr="00E233B9">
        <w:rPr>
          <w:rFonts w:asciiTheme="minorHAnsi" w:hAnsiTheme="minorHAnsi" w:cstheme="minorHAnsi"/>
          <w:lang w:val="en-US"/>
        </w:rPr>
        <w:t>Joint conference of RC06 (family) and RC41 (population</w:t>
      </w:r>
      <w:proofErr w:type="gramStart"/>
      <w:r w:rsidRPr="00E233B9">
        <w:rPr>
          <w:rFonts w:asciiTheme="minorHAnsi" w:hAnsiTheme="minorHAnsi" w:cstheme="minorHAnsi"/>
          <w:lang w:val="en-US"/>
        </w:rPr>
        <w:t>)</w:t>
      </w:r>
      <w:proofErr w:type="gramEnd"/>
      <w:r w:rsidRPr="00E233B9">
        <w:rPr>
          <w:rFonts w:asciiTheme="minorHAnsi" w:hAnsiTheme="minorHAnsi" w:cstheme="minorHAnsi"/>
          <w:lang w:val="en-US"/>
        </w:rPr>
        <w:br/>
      </w:r>
      <w:r w:rsidR="00136EBB" w:rsidRPr="00E233B9">
        <w:rPr>
          <w:rFonts w:asciiTheme="minorHAnsi" w:hAnsiTheme="minorHAnsi" w:cstheme="minorHAnsi"/>
          <w:b/>
          <w:lang w:val="en-US"/>
        </w:rPr>
        <w:t>CHANGING DEMOGRAPHY - CHANGING FAMILIES</w:t>
      </w:r>
      <w:r w:rsidRPr="00E233B9">
        <w:rPr>
          <w:rFonts w:asciiTheme="minorHAnsi" w:hAnsiTheme="minorHAnsi" w:cstheme="minorHAnsi"/>
          <w:b/>
          <w:lang w:val="en-US"/>
        </w:rPr>
        <w:br/>
      </w:r>
      <w:r w:rsidR="00136EBB" w:rsidRPr="00E233B9">
        <w:rPr>
          <w:rFonts w:asciiTheme="minorHAnsi" w:hAnsiTheme="minorHAnsi" w:cstheme="minorHAnsi"/>
          <w:b/>
          <w:lang w:val="en-US"/>
        </w:rPr>
        <w:t>Singapore | 17-19 May 2018</w:t>
      </w:r>
    </w:p>
    <w:p w14:paraId="14B67371" w14:textId="77777777" w:rsidR="009201B4" w:rsidRPr="00E233B9" w:rsidRDefault="009201B4" w:rsidP="00E233B9">
      <w:pPr>
        <w:spacing w:line="276" w:lineRule="auto"/>
        <w:rPr>
          <w:rFonts w:asciiTheme="minorHAnsi" w:hAnsiTheme="minorHAnsi" w:cstheme="minorHAnsi"/>
          <w:sz w:val="24"/>
          <w:lang w:val="en-US"/>
        </w:rPr>
      </w:pPr>
    </w:p>
    <w:p w14:paraId="46EA57D4" w14:textId="2A94DD5A" w:rsidR="00082F0A" w:rsidRPr="00E233B9" w:rsidRDefault="00082F0A" w:rsidP="00E233B9">
      <w:pPr>
        <w:spacing w:line="276" w:lineRule="auto"/>
        <w:jc w:val="center"/>
        <w:rPr>
          <w:rFonts w:asciiTheme="minorHAnsi" w:hAnsiTheme="minorHAnsi" w:cstheme="minorHAnsi"/>
          <w:b/>
          <w:sz w:val="28"/>
          <w:lang w:val="en-US"/>
        </w:rPr>
      </w:pPr>
      <w:r w:rsidRPr="00E233B9">
        <w:rPr>
          <w:rFonts w:asciiTheme="minorHAnsi" w:hAnsiTheme="minorHAnsi" w:cstheme="minorHAnsi"/>
          <w:b/>
          <w:sz w:val="28"/>
          <w:lang w:val="en-US"/>
        </w:rPr>
        <w:t xml:space="preserve">The Educational Gap in </w:t>
      </w:r>
      <w:r w:rsidR="00A32A80" w:rsidRPr="00E233B9">
        <w:rPr>
          <w:rFonts w:asciiTheme="minorHAnsi" w:hAnsiTheme="minorHAnsi" w:cstheme="minorHAnsi"/>
          <w:b/>
          <w:sz w:val="28"/>
          <w:lang w:val="en-US"/>
        </w:rPr>
        <w:t xml:space="preserve">Extended Social </w:t>
      </w:r>
      <w:r w:rsidRPr="00E233B9">
        <w:rPr>
          <w:rFonts w:asciiTheme="minorHAnsi" w:hAnsiTheme="minorHAnsi" w:cstheme="minorHAnsi"/>
          <w:b/>
          <w:sz w:val="28"/>
          <w:lang w:val="en-US"/>
        </w:rPr>
        <w:t>Fertility:</w:t>
      </w:r>
      <w:r w:rsidR="005B3A11" w:rsidRPr="00E233B9">
        <w:rPr>
          <w:rFonts w:asciiTheme="minorHAnsi" w:hAnsiTheme="minorHAnsi" w:cstheme="minorHAnsi"/>
          <w:b/>
          <w:sz w:val="28"/>
          <w:lang w:val="en-US"/>
        </w:rPr>
        <w:t xml:space="preserve"> </w:t>
      </w:r>
      <w:r w:rsidR="005B3A11" w:rsidRPr="00E233B9">
        <w:rPr>
          <w:rFonts w:asciiTheme="minorHAnsi" w:hAnsiTheme="minorHAnsi" w:cstheme="minorHAnsi"/>
          <w:b/>
          <w:sz w:val="28"/>
          <w:lang w:val="en-US"/>
        </w:rPr>
        <w:br/>
      </w:r>
      <w:r w:rsidRPr="00E233B9">
        <w:rPr>
          <w:rFonts w:asciiTheme="minorHAnsi" w:hAnsiTheme="minorHAnsi" w:cstheme="minorHAnsi"/>
          <w:b/>
          <w:sz w:val="28"/>
          <w:lang w:val="en-US"/>
        </w:rPr>
        <w:t xml:space="preserve">A </w:t>
      </w:r>
      <w:r w:rsidR="005B3A11" w:rsidRPr="00E233B9">
        <w:rPr>
          <w:rFonts w:asciiTheme="minorHAnsi" w:hAnsiTheme="minorHAnsi" w:cstheme="minorHAnsi"/>
          <w:b/>
          <w:sz w:val="28"/>
          <w:lang w:val="en-US"/>
        </w:rPr>
        <w:t>G</w:t>
      </w:r>
      <w:r w:rsidRPr="00E233B9">
        <w:rPr>
          <w:rFonts w:asciiTheme="minorHAnsi" w:hAnsiTheme="minorHAnsi" w:cstheme="minorHAnsi"/>
          <w:b/>
          <w:sz w:val="28"/>
          <w:lang w:val="en-US"/>
        </w:rPr>
        <w:t xml:space="preserve">eneralized Approach </w:t>
      </w:r>
      <w:r w:rsidR="005B3A11" w:rsidRPr="00E233B9">
        <w:rPr>
          <w:rFonts w:asciiTheme="minorHAnsi" w:hAnsiTheme="minorHAnsi" w:cstheme="minorHAnsi"/>
          <w:b/>
          <w:sz w:val="28"/>
          <w:lang w:val="en-US"/>
        </w:rPr>
        <w:t xml:space="preserve">to </w:t>
      </w:r>
      <w:r w:rsidRPr="00E233B9">
        <w:rPr>
          <w:rFonts w:asciiTheme="minorHAnsi" w:hAnsiTheme="minorHAnsi" w:cstheme="minorHAnsi"/>
          <w:b/>
          <w:sz w:val="28"/>
          <w:lang w:val="en-US"/>
        </w:rPr>
        <w:t xml:space="preserve">Birth Cohort Changes in </w:t>
      </w:r>
      <w:r w:rsidR="005B3A11" w:rsidRPr="00E233B9">
        <w:rPr>
          <w:rFonts w:asciiTheme="minorHAnsi" w:hAnsiTheme="minorHAnsi" w:cstheme="minorHAnsi"/>
          <w:b/>
          <w:sz w:val="28"/>
          <w:lang w:val="en-US"/>
        </w:rPr>
        <w:t xml:space="preserve">the Number </w:t>
      </w:r>
      <w:r w:rsidRPr="00E233B9">
        <w:rPr>
          <w:rFonts w:asciiTheme="minorHAnsi" w:hAnsiTheme="minorHAnsi" w:cstheme="minorHAnsi"/>
          <w:b/>
          <w:sz w:val="28"/>
          <w:lang w:val="en-US"/>
        </w:rPr>
        <w:t xml:space="preserve">of </w:t>
      </w:r>
      <w:r w:rsidR="005B3A11" w:rsidRPr="00E233B9">
        <w:rPr>
          <w:rFonts w:asciiTheme="minorHAnsi" w:hAnsiTheme="minorHAnsi" w:cstheme="minorHAnsi"/>
          <w:b/>
          <w:sz w:val="28"/>
          <w:lang w:val="en-US"/>
        </w:rPr>
        <w:t>Children</w:t>
      </w:r>
      <w:r w:rsidRPr="00E233B9">
        <w:rPr>
          <w:rFonts w:asciiTheme="minorHAnsi" w:hAnsiTheme="minorHAnsi" w:cstheme="minorHAnsi"/>
          <w:b/>
          <w:sz w:val="28"/>
          <w:lang w:val="en-US"/>
        </w:rPr>
        <w:t xml:space="preserve"> </w:t>
      </w:r>
      <w:r w:rsidR="001018F6" w:rsidRPr="00E233B9">
        <w:rPr>
          <w:rFonts w:asciiTheme="minorHAnsi" w:hAnsiTheme="minorHAnsi" w:cstheme="minorHAnsi"/>
          <w:b/>
          <w:sz w:val="28"/>
          <w:lang w:val="en-US"/>
        </w:rPr>
        <w:br/>
      </w:r>
      <w:proofErr w:type="gramStart"/>
      <w:r w:rsidR="008E0B31" w:rsidRPr="00E233B9">
        <w:rPr>
          <w:rFonts w:asciiTheme="minorHAnsi" w:hAnsiTheme="minorHAnsi" w:cstheme="minorHAnsi"/>
          <w:b/>
          <w:sz w:val="28"/>
          <w:lang w:val="en-US"/>
        </w:rPr>
        <w:t>Among</w:t>
      </w:r>
      <w:proofErr w:type="gramEnd"/>
      <w:r w:rsidR="008E0B31" w:rsidRPr="00E233B9">
        <w:rPr>
          <w:rFonts w:asciiTheme="minorHAnsi" w:hAnsiTheme="minorHAnsi" w:cstheme="minorHAnsi"/>
          <w:b/>
          <w:sz w:val="28"/>
          <w:lang w:val="en-US"/>
        </w:rPr>
        <w:t xml:space="preserve"> Women i</w:t>
      </w:r>
      <w:r w:rsidR="001018F6" w:rsidRPr="00E233B9">
        <w:rPr>
          <w:rFonts w:asciiTheme="minorHAnsi" w:hAnsiTheme="minorHAnsi" w:cstheme="minorHAnsi"/>
          <w:b/>
          <w:sz w:val="28"/>
          <w:lang w:val="en-US"/>
        </w:rPr>
        <w:t xml:space="preserve">n </w:t>
      </w:r>
      <w:r w:rsidR="00215CEF">
        <w:rPr>
          <w:rFonts w:asciiTheme="minorHAnsi" w:hAnsiTheme="minorHAnsi" w:cstheme="minorHAnsi"/>
          <w:b/>
          <w:sz w:val="28"/>
          <w:lang w:val="en-US"/>
        </w:rPr>
        <w:t>Nine Countries</w:t>
      </w:r>
    </w:p>
    <w:p w14:paraId="0E715D0F" w14:textId="77777777" w:rsidR="009201B4" w:rsidRDefault="009201B4" w:rsidP="00E233B9">
      <w:pPr>
        <w:spacing w:line="276" w:lineRule="auto"/>
        <w:jc w:val="center"/>
        <w:rPr>
          <w:rFonts w:asciiTheme="minorHAnsi" w:hAnsiTheme="minorHAnsi" w:cstheme="minorHAnsi"/>
          <w:lang w:val="en-US"/>
        </w:rPr>
      </w:pPr>
    </w:p>
    <w:p w14:paraId="5D828B9C" w14:textId="1252D2E5" w:rsidR="00A60269" w:rsidRPr="00E233B9" w:rsidRDefault="00A60269" w:rsidP="00E233B9">
      <w:pPr>
        <w:spacing w:line="276" w:lineRule="auto"/>
        <w:jc w:val="center"/>
        <w:rPr>
          <w:rFonts w:asciiTheme="minorHAnsi" w:hAnsiTheme="minorHAnsi" w:cstheme="minorHAnsi"/>
          <w:lang w:val="en-US"/>
        </w:rPr>
      </w:pPr>
      <w:r w:rsidRPr="00E233B9">
        <w:rPr>
          <w:rFonts w:asciiTheme="minorHAnsi" w:hAnsiTheme="minorHAnsi" w:cstheme="minorHAnsi"/>
          <w:lang w:val="en-US"/>
        </w:rPr>
        <w:t>Louis Chauvel, University of Luxembourg</w:t>
      </w:r>
      <w:r w:rsidR="00FC3BFA" w:rsidRPr="00E233B9">
        <w:rPr>
          <w:rFonts w:asciiTheme="minorHAnsi" w:hAnsiTheme="minorHAnsi" w:cstheme="minorHAnsi"/>
          <w:lang w:val="en-US"/>
        </w:rPr>
        <w:t xml:space="preserve">, </w:t>
      </w:r>
      <w:r w:rsidR="00FC3BFA" w:rsidRPr="00E233B9">
        <w:rPr>
          <w:rFonts w:asciiTheme="minorHAnsi" w:hAnsiTheme="minorHAnsi" w:cstheme="minorHAnsi"/>
          <w:i/>
          <w:lang w:val="en-US"/>
        </w:rPr>
        <w:t>louis.chauvel@uni.lu</w:t>
      </w:r>
    </w:p>
    <w:p w14:paraId="70A2C421" w14:textId="790AFB18" w:rsidR="005B3A11" w:rsidRPr="00E233B9" w:rsidRDefault="00A60269" w:rsidP="00E233B9">
      <w:pPr>
        <w:spacing w:line="276" w:lineRule="auto"/>
        <w:jc w:val="center"/>
        <w:rPr>
          <w:rFonts w:asciiTheme="minorHAnsi" w:hAnsiTheme="minorHAnsi" w:cstheme="minorHAnsi"/>
          <w:lang w:val="en-US"/>
        </w:rPr>
      </w:pPr>
      <w:r w:rsidRPr="00E233B9">
        <w:rPr>
          <w:rFonts w:asciiTheme="minorHAnsi" w:hAnsiTheme="minorHAnsi" w:cstheme="minorHAnsi"/>
          <w:lang w:val="en-US"/>
        </w:rPr>
        <w:t>An</w:t>
      </w:r>
      <w:r w:rsidR="00082F0A" w:rsidRPr="00E233B9">
        <w:rPr>
          <w:rFonts w:asciiTheme="minorHAnsi" w:hAnsiTheme="minorHAnsi" w:cstheme="minorHAnsi"/>
          <w:lang w:val="en-US"/>
        </w:rPr>
        <w:t xml:space="preserve">ne </w:t>
      </w:r>
      <w:proofErr w:type="spellStart"/>
      <w:r w:rsidR="00082F0A" w:rsidRPr="00E233B9">
        <w:rPr>
          <w:rFonts w:asciiTheme="minorHAnsi" w:hAnsiTheme="minorHAnsi" w:cstheme="minorHAnsi"/>
          <w:lang w:val="en-US"/>
        </w:rPr>
        <w:t>Hartung</w:t>
      </w:r>
      <w:proofErr w:type="spellEnd"/>
      <w:r w:rsidR="005B3A11" w:rsidRPr="00E233B9">
        <w:rPr>
          <w:rFonts w:asciiTheme="minorHAnsi" w:hAnsiTheme="minorHAnsi" w:cstheme="minorHAnsi"/>
          <w:lang w:val="en-US"/>
        </w:rPr>
        <w:t>, University of Luxembourg</w:t>
      </w:r>
    </w:p>
    <w:p w14:paraId="7432C233" w14:textId="35568D32" w:rsidR="00A60269" w:rsidRPr="00E233B9" w:rsidRDefault="00096E33" w:rsidP="00E233B9">
      <w:pPr>
        <w:spacing w:line="276" w:lineRule="auto"/>
        <w:jc w:val="center"/>
        <w:rPr>
          <w:rFonts w:asciiTheme="minorHAnsi" w:hAnsiTheme="minorHAnsi" w:cstheme="minorHAnsi"/>
          <w:lang w:val="en-US"/>
        </w:rPr>
      </w:pPr>
      <w:proofErr w:type="spellStart"/>
      <w:r w:rsidRPr="00E233B9">
        <w:rPr>
          <w:rFonts w:asciiTheme="minorHAnsi" w:hAnsiTheme="minorHAnsi" w:cstheme="minorHAnsi"/>
          <w:lang w:val="en-US"/>
        </w:rPr>
        <w:t>Eyal</w:t>
      </w:r>
      <w:proofErr w:type="spellEnd"/>
      <w:r w:rsidRPr="00E233B9">
        <w:rPr>
          <w:rFonts w:asciiTheme="minorHAnsi" w:hAnsiTheme="minorHAnsi" w:cstheme="minorHAnsi"/>
          <w:lang w:val="en-US"/>
        </w:rPr>
        <w:t xml:space="preserve"> Bar-Haim</w:t>
      </w:r>
      <w:r w:rsidR="005B3A11" w:rsidRPr="00E233B9">
        <w:rPr>
          <w:rFonts w:asciiTheme="minorHAnsi" w:hAnsiTheme="minorHAnsi" w:cstheme="minorHAnsi"/>
          <w:lang w:val="en-US"/>
        </w:rPr>
        <w:t>,</w:t>
      </w:r>
      <w:r w:rsidRPr="00E233B9">
        <w:rPr>
          <w:rFonts w:asciiTheme="minorHAnsi" w:hAnsiTheme="minorHAnsi" w:cstheme="minorHAnsi"/>
          <w:lang w:val="en-US"/>
        </w:rPr>
        <w:t xml:space="preserve"> </w:t>
      </w:r>
      <w:r w:rsidR="00A60269" w:rsidRPr="00E233B9">
        <w:rPr>
          <w:rFonts w:asciiTheme="minorHAnsi" w:hAnsiTheme="minorHAnsi" w:cstheme="minorHAnsi"/>
          <w:lang w:val="en-US"/>
        </w:rPr>
        <w:t>University of Luxembourg</w:t>
      </w:r>
    </w:p>
    <w:p w14:paraId="69C2A83F" w14:textId="056618C6" w:rsidR="005B3A11" w:rsidRDefault="005B3A11" w:rsidP="00E233B9">
      <w:pPr>
        <w:spacing w:line="276" w:lineRule="auto"/>
        <w:jc w:val="center"/>
        <w:rPr>
          <w:rFonts w:asciiTheme="minorHAnsi" w:hAnsiTheme="minorHAnsi" w:cstheme="minorHAnsi"/>
          <w:lang w:val="en-US"/>
        </w:rPr>
      </w:pPr>
    </w:p>
    <w:p w14:paraId="38D10606" w14:textId="77777777" w:rsidR="00B04D65" w:rsidRPr="00E233B9" w:rsidRDefault="00B04D65" w:rsidP="00E233B9">
      <w:pPr>
        <w:spacing w:line="240" w:lineRule="auto"/>
        <w:jc w:val="center"/>
        <w:rPr>
          <w:rFonts w:asciiTheme="minorHAnsi" w:hAnsiTheme="minorHAnsi" w:cstheme="minorHAnsi"/>
          <w:lang w:val="en-US"/>
        </w:rPr>
      </w:pPr>
    </w:p>
    <w:p w14:paraId="3E5127DF" w14:textId="6C54D99A" w:rsidR="00D2775E" w:rsidRPr="00E233B9" w:rsidRDefault="00D2775E" w:rsidP="00E233B9">
      <w:pPr>
        <w:spacing w:line="276" w:lineRule="auto"/>
        <w:rPr>
          <w:rFonts w:asciiTheme="minorHAnsi" w:hAnsiTheme="minorHAnsi" w:cstheme="minorHAnsi"/>
          <w:b/>
          <w:lang w:val="en-US"/>
        </w:rPr>
      </w:pPr>
      <w:r w:rsidRPr="00E233B9">
        <w:rPr>
          <w:rFonts w:asciiTheme="minorHAnsi" w:hAnsiTheme="minorHAnsi" w:cstheme="minorHAnsi"/>
          <w:b/>
          <w:lang w:val="en-US"/>
        </w:rPr>
        <w:t>Abstract</w:t>
      </w:r>
      <w:r w:rsidRPr="00E233B9">
        <w:rPr>
          <w:rFonts w:asciiTheme="minorHAnsi" w:hAnsiTheme="minorHAnsi" w:cstheme="minorHAnsi"/>
          <w:lang w:val="en-US"/>
        </w:rPr>
        <w:t xml:space="preserve"> (</w:t>
      </w:r>
      <w:r w:rsidR="00B32339" w:rsidRPr="00E233B9">
        <w:rPr>
          <w:rFonts w:asciiTheme="minorHAnsi" w:hAnsiTheme="minorHAnsi" w:cstheme="minorHAnsi"/>
          <w:lang w:val="en-US"/>
        </w:rPr>
        <w:t>2</w:t>
      </w:r>
      <w:r w:rsidR="00144DE5">
        <w:rPr>
          <w:rFonts w:asciiTheme="minorHAnsi" w:hAnsiTheme="minorHAnsi" w:cstheme="minorHAnsi"/>
          <w:lang w:val="en-US"/>
        </w:rPr>
        <w:t>51</w:t>
      </w:r>
      <w:r w:rsidR="00B32339" w:rsidRPr="00E233B9">
        <w:rPr>
          <w:rFonts w:asciiTheme="minorHAnsi" w:hAnsiTheme="minorHAnsi" w:cstheme="minorHAnsi"/>
          <w:lang w:val="en-US"/>
        </w:rPr>
        <w:t xml:space="preserve"> </w:t>
      </w:r>
      <w:r w:rsidRPr="00E233B9">
        <w:rPr>
          <w:rFonts w:asciiTheme="minorHAnsi" w:hAnsiTheme="minorHAnsi" w:cstheme="minorHAnsi"/>
          <w:lang w:val="en-US"/>
        </w:rPr>
        <w:t>words)</w:t>
      </w:r>
    </w:p>
    <w:p w14:paraId="3D2BB85A" w14:textId="18ABEF44" w:rsidR="004B4BB0" w:rsidRPr="00E233B9" w:rsidRDefault="004B4BB0" w:rsidP="00E233B9">
      <w:pPr>
        <w:spacing w:line="276" w:lineRule="auto"/>
        <w:jc w:val="both"/>
        <w:rPr>
          <w:rFonts w:asciiTheme="minorHAnsi" w:hAnsiTheme="minorHAnsi" w:cstheme="minorHAnsi"/>
          <w:lang w:val="en-US"/>
        </w:rPr>
      </w:pPr>
      <w:r w:rsidRPr="00E233B9">
        <w:rPr>
          <w:rFonts w:asciiTheme="minorHAnsi" w:hAnsiTheme="minorHAnsi" w:cstheme="minorHAnsi"/>
          <w:lang w:val="en-US"/>
        </w:rPr>
        <w:t xml:space="preserve">Social scientists claim that in the recent transformations towards a more targeted welfare state, middle and upper-middle class well-educated women have experienced a disproportionally stark decline in fertility due to increasing generalized costs of family investments </w:t>
      </w:r>
      <w:r w:rsidR="004A7ED8" w:rsidRPr="00D91987">
        <w:rPr>
          <w:rFonts w:asciiTheme="minorHAnsi" w:hAnsiTheme="minorHAnsi" w:cstheme="minorHAnsi"/>
          <w:lang w:val="en-US"/>
        </w:rPr>
        <w:t>for higher-educated women</w:t>
      </w:r>
      <w:r w:rsidR="004A7ED8">
        <w:rPr>
          <w:rFonts w:asciiTheme="minorHAnsi" w:hAnsiTheme="minorHAnsi" w:cstheme="minorHAnsi"/>
          <w:lang w:val="en-US"/>
        </w:rPr>
        <w:t xml:space="preserve"> including </w:t>
      </w:r>
      <w:r w:rsidRPr="00E233B9">
        <w:rPr>
          <w:rFonts w:asciiTheme="minorHAnsi" w:hAnsiTheme="minorHAnsi" w:cstheme="minorHAnsi"/>
          <w:lang w:val="en-US"/>
        </w:rPr>
        <w:t xml:space="preserve">education, opportunity costs of their career, child care, etc. This phenomenon has a strong birth cohort background: the educational gap in fertility is central in the “demographic metabolism” of birth cohort </w:t>
      </w:r>
      <w:proofErr w:type="gramStart"/>
      <w:r w:rsidRPr="00E233B9">
        <w:rPr>
          <w:rFonts w:asciiTheme="minorHAnsi" w:hAnsiTheme="minorHAnsi" w:cstheme="minorHAnsi"/>
          <w:lang w:val="en-US"/>
        </w:rPr>
        <w:t>reproduction</w:t>
      </w:r>
      <w:proofErr w:type="gramEnd"/>
      <w:r w:rsidRPr="00E233B9">
        <w:rPr>
          <w:rFonts w:asciiTheme="minorHAnsi" w:hAnsiTheme="minorHAnsi" w:cstheme="minorHAnsi"/>
          <w:lang w:val="en-US"/>
        </w:rPr>
        <w:t xml:space="preserve"> and replacement. Yet, comparative studies looking at cohort trends are rare. In this paper, we study the extended social fertility (ESF), which we define as the number of children in the household. This definition reflects the wider concept of “contribution to social reproduction” rather than </w:t>
      </w:r>
      <w:r w:rsidR="0064656C" w:rsidRPr="00E233B9">
        <w:rPr>
          <w:rFonts w:asciiTheme="minorHAnsi" w:hAnsiTheme="minorHAnsi" w:cstheme="minorHAnsi"/>
          <w:lang w:val="en-US"/>
        </w:rPr>
        <w:t xml:space="preserve">biological </w:t>
      </w:r>
      <w:r w:rsidRPr="00E233B9">
        <w:rPr>
          <w:rFonts w:asciiTheme="minorHAnsi" w:hAnsiTheme="minorHAnsi" w:cstheme="minorHAnsi"/>
          <w:lang w:val="en-US"/>
        </w:rPr>
        <w:t xml:space="preserve">fertility in a strict sense. We </w:t>
      </w:r>
      <w:r w:rsidR="00BF7E17" w:rsidRPr="00B902A0">
        <w:rPr>
          <w:rFonts w:asciiTheme="minorHAnsi" w:hAnsiTheme="minorHAnsi" w:cstheme="minorHAnsi"/>
          <w:lang w:val="en-US"/>
        </w:rPr>
        <w:t>apply</w:t>
      </w:r>
      <w:r w:rsidR="00BF7E17" w:rsidRPr="00E233B9">
        <w:rPr>
          <w:rFonts w:asciiTheme="minorHAnsi" w:hAnsiTheme="minorHAnsi" w:cstheme="minorHAnsi"/>
          <w:lang w:val="en-US"/>
        </w:rPr>
        <w:t xml:space="preserve"> </w:t>
      </w:r>
      <w:r w:rsidRPr="00E233B9">
        <w:rPr>
          <w:rFonts w:asciiTheme="minorHAnsi" w:hAnsiTheme="minorHAnsi" w:cstheme="minorHAnsi"/>
          <w:lang w:val="en-US"/>
        </w:rPr>
        <w:t xml:space="preserve">a new method APC-GO </w:t>
      </w:r>
      <w:r w:rsidR="00BF7E17" w:rsidRPr="00B902A0">
        <w:rPr>
          <w:rFonts w:asciiTheme="minorHAnsi" w:hAnsiTheme="minorHAnsi" w:cstheme="minorHAnsi"/>
          <w:lang w:val="en-US"/>
        </w:rPr>
        <w:t>(</w:t>
      </w:r>
      <w:r w:rsidRPr="00E233B9">
        <w:rPr>
          <w:rFonts w:asciiTheme="minorHAnsi" w:hAnsiTheme="minorHAnsi" w:cstheme="minorHAnsi"/>
          <w:lang w:val="en-US"/>
        </w:rPr>
        <w:t>Age-Period-Cohort-Gap-Oaxaca</w:t>
      </w:r>
      <w:r w:rsidR="00BF7E17" w:rsidRPr="00B902A0">
        <w:rPr>
          <w:rFonts w:asciiTheme="minorHAnsi" w:hAnsiTheme="minorHAnsi" w:cstheme="minorHAnsi"/>
          <w:lang w:val="en-US"/>
        </w:rPr>
        <w:t xml:space="preserve">) </w:t>
      </w:r>
      <w:r w:rsidRPr="00E233B9">
        <w:rPr>
          <w:rFonts w:asciiTheme="minorHAnsi" w:hAnsiTheme="minorHAnsi" w:cstheme="minorHAnsi"/>
          <w:lang w:val="en-US"/>
        </w:rPr>
        <w:t xml:space="preserve">methodology. This model estimates the net birth-cohort indexed gap in a response variable by controlling age and period characteristics along with relevant control variables (labor participation etc.). We study </w:t>
      </w:r>
      <w:r w:rsidR="0064656C" w:rsidRPr="00E233B9">
        <w:rPr>
          <w:rFonts w:asciiTheme="minorHAnsi" w:hAnsiTheme="minorHAnsi" w:cstheme="minorHAnsi"/>
          <w:lang w:val="en-US"/>
        </w:rPr>
        <w:t xml:space="preserve">ESF </w:t>
      </w:r>
      <w:r w:rsidRPr="00E233B9">
        <w:rPr>
          <w:rFonts w:asciiTheme="minorHAnsi" w:hAnsiTheme="minorHAnsi" w:cstheme="minorHAnsi"/>
          <w:lang w:val="en-US"/>
        </w:rPr>
        <w:t>in the US using the</w:t>
      </w:r>
      <w:r w:rsidR="005D3251">
        <w:rPr>
          <w:rFonts w:asciiTheme="minorHAnsi" w:hAnsiTheme="minorHAnsi" w:cstheme="minorHAnsi"/>
          <w:lang w:val="en-US"/>
        </w:rPr>
        <w:t xml:space="preserve"> U.S. censuses, </w:t>
      </w:r>
      <w:r w:rsidRPr="00E233B9">
        <w:rPr>
          <w:rFonts w:asciiTheme="minorHAnsi" w:hAnsiTheme="minorHAnsi" w:cstheme="minorHAnsi"/>
          <w:lang w:val="en-US"/>
        </w:rPr>
        <w:t>Current Population Survey (CPS) and extend our analyses to a contrasting sample</w:t>
      </w:r>
      <w:r w:rsidR="002B037C" w:rsidRPr="00E233B9">
        <w:rPr>
          <w:rFonts w:asciiTheme="minorHAnsi" w:hAnsiTheme="minorHAnsi" w:cstheme="minorHAnsi"/>
          <w:lang w:val="en-US"/>
        </w:rPr>
        <w:t xml:space="preserve"> of countries</w:t>
      </w:r>
      <w:r w:rsidRPr="00E233B9">
        <w:rPr>
          <w:rFonts w:asciiTheme="minorHAnsi" w:hAnsiTheme="minorHAnsi" w:cstheme="minorHAnsi"/>
          <w:lang w:val="en-US"/>
        </w:rPr>
        <w:t xml:space="preserve"> using the Luxembourg Income Study data (LIS). Our findings regarding the educational gap in number of children suggest</w:t>
      </w:r>
      <w:r w:rsidR="00834CC1">
        <w:rPr>
          <w:rFonts w:asciiTheme="minorHAnsi" w:hAnsiTheme="minorHAnsi" w:cstheme="minorHAnsi"/>
          <w:lang w:val="en-US"/>
        </w:rPr>
        <w:t xml:space="preserve"> no significant gap with almost no cohort fluctuations in the Nordic countries. A</w:t>
      </w:r>
      <w:r w:rsidRPr="00E233B9">
        <w:rPr>
          <w:rFonts w:asciiTheme="minorHAnsi" w:hAnsiTheme="minorHAnsi" w:cstheme="minorHAnsi"/>
          <w:lang w:val="en-US"/>
        </w:rPr>
        <w:t xml:space="preserve"> significant decline in </w:t>
      </w:r>
      <w:r w:rsidR="00B902A0">
        <w:rPr>
          <w:rFonts w:asciiTheme="minorHAnsi" w:hAnsiTheme="minorHAnsi" w:cstheme="minorHAnsi"/>
          <w:lang w:val="en-US"/>
        </w:rPr>
        <w:t>ESF</w:t>
      </w:r>
      <w:r w:rsidR="00215CEF" w:rsidRPr="00E233B9">
        <w:rPr>
          <w:rFonts w:asciiTheme="minorHAnsi" w:hAnsiTheme="minorHAnsi" w:cstheme="minorHAnsi"/>
          <w:lang w:val="en-US"/>
        </w:rPr>
        <w:t xml:space="preserve"> gap</w:t>
      </w:r>
      <w:r w:rsidRPr="00E233B9">
        <w:rPr>
          <w:rFonts w:asciiTheme="minorHAnsi" w:hAnsiTheme="minorHAnsi" w:cstheme="minorHAnsi"/>
          <w:lang w:val="en-US"/>
        </w:rPr>
        <w:t xml:space="preserve"> in</w:t>
      </w:r>
      <w:r w:rsidR="00834CC1">
        <w:rPr>
          <w:rFonts w:asciiTheme="minorHAnsi" w:hAnsiTheme="minorHAnsi" w:cstheme="minorHAnsi"/>
          <w:lang w:val="en-US"/>
        </w:rPr>
        <w:t xml:space="preserve"> a number of countries experienced</w:t>
      </w:r>
      <w:r w:rsidR="00215CEF" w:rsidRPr="00E233B9">
        <w:rPr>
          <w:rFonts w:asciiTheme="minorHAnsi" w:hAnsiTheme="minorHAnsi" w:cstheme="minorHAnsi"/>
          <w:lang w:val="en-US"/>
        </w:rPr>
        <w:t xml:space="preserve"> Taiwan</w:t>
      </w:r>
      <w:r w:rsidR="00771D1B">
        <w:rPr>
          <w:rFonts w:asciiTheme="minorHAnsi" w:hAnsiTheme="minorHAnsi" w:cstheme="minorHAnsi"/>
          <w:lang w:val="en-US"/>
        </w:rPr>
        <w:t>,</w:t>
      </w:r>
      <w:r w:rsidR="00215CEF" w:rsidRPr="00E233B9">
        <w:rPr>
          <w:rFonts w:asciiTheme="minorHAnsi" w:hAnsiTheme="minorHAnsi" w:cstheme="minorHAnsi"/>
          <w:lang w:val="en-US"/>
        </w:rPr>
        <w:t xml:space="preserve"> </w:t>
      </w:r>
      <w:r w:rsidR="00834CC1">
        <w:rPr>
          <w:rFonts w:asciiTheme="minorHAnsi" w:hAnsiTheme="minorHAnsi" w:cstheme="minorHAnsi"/>
          <w:lang w:val="en-US"/>
        </w:rPr>
        <w:t xml:space="preserve">France and the US until cohort 1960, </w:t>
      </w:r>
      <w:r w:rsidR="00215CEF" w:rsidRPr="00E233B9">
        <w:rPr>
          <w:rFonts w:asciiTheme="minorHAnsi" w:hAnsiTheme="minorHAnsi" w:cstheme="minorHAnsi"/>
          <w:lang w:val="en-US"/>
        </w:rPr>
        <w:t xml:space="preserve">while </w:t>
      </w:r>
      <w:r w:rsidR="00834CC1">
        <w:rPr>
          <w:rFonts w:asciiTheme="minorHAnsi" w:hAnsiTheme="minorHAnsi" w:cstheme="minorHAnsi"/>
          <w:lang w:val="en-US"/>
        </w:rPr>
        <w:t>in o</w:t>
      </w:r>
      <w:r w:rsidR="00215CEF" w:rsidRPr="00E233B9">
        <w:rPr>
          <w:rFonts w:asciiTheme="minorHAnsi" w:hAnsiTheme="minorHAnsi" w:cstheme="minorHAnsi"/>
          <w:lang w:val="en-US"/>
        </w:rPr>
        <w:t>ther countries</w:t>
      </w:r>
      <w:r w:rsidR="00B902A0">
        <w:rPr>
          <w:rFonts w:asciiTheme="minorHAnsi" w:hAnsiTheme="minorHAnsi" w:cstheme="minorHAnsi"/>
          <w:lang w:val="en-US"/>
        </w:rPr>
        <w:t>,</w:t>
      </w:r>
      <w:r w:rsidR="00215CEF" w:rsidRPr="00E233B9">
        <w:rPr>
          <w:rFonts w:asciiTheme="minorHAnsi" w:hAnsiTheme="minorHAnsi" w:cstheme="minorHAnsi"/>
          <w:lang w:val="en-US"/>
        </w:rPr>
        <w:t xml:space="preserve"> </w:t>
      </w:r>
      <w:r w:rsidR="00B902A0">
        <w:rPr>
          <w:rFonts w:asciiTheme="minorHAnsi" w:hAnsiTheme="minorHAnsi" w:cstheme="minorHAnsi"/>
          <w:lang w:val="en-US"/>
        </w:rPr>
        <w:t xml:space="preserve">i.e. </w:t>
      </w:r>
      <w:r w:rsidR="00215CEF" w:rsidRPr="00E233B9">
        <w:rPr>
          <w:rFonts w:asciiTheme="minorHAnsi" w:hAnsiTheme="minorHAnsi" w:cstheme="minorHAnsi"/>
          <w:lang w:val="en-US"/>
        </w:rPr>
        <w:t>Germany, Great Britain and Italy</w:t>
      </w:r>
      <w:r w:rsidR="00771D1B">
        <w:rPr>
          <w:rFonts w:asciiTheme="minorHAnsi" w:hAnsiTheme="minorHAnsi" w:cstheme="minorHAnsi"/>
          <w:lang w:val="en-US"/>
        </w:rPr>
        <w:t xml:space="preserve"> for cohorts born until 1960</w:t>
      </w:r>
      <w:r w:rsidR="00B902A0">
        <w:rPr>
          <w:rFonts w:asciiTheme="minorHAnsi" w:hAnsiTheme="minorHAnsi" w:cstheme="minorHAnsi"/>
          <w:lang w:val="en-US"/>
        </w:rPr>
        <w:t>,</w:t>
      </w:r>
      <w:r w:rsidR="00215CEF" w:rsidRPr="00E233B9">
        <w:rPr>
          <w:rFonts w:asciiTheme="minorHAnsi" w:hAnsiTheme="minorHAnsi" w:cstheme="minorHAnsi"/>
          <w:lang w:val="en-US"/>
        </w:rPr>
        <w:t xml:space="preserve"> </w:t>
      </w:r>
      <w:r w:rsidR="00834CC1">
        <w:rPr>
          <w:rFonts w:asciiTheme="minorHAnsi" w:hAnsiTheme="minorHAnsi" w:cstheme="minorHAnsi"/>
          <w:lang w:val="en-US"/>
        </w:rPr>
        <w:t>the educational gap has widened</w:t>
      </w:r>
      <w:r w:rsidR="00215CEF" w:rsidRPr="00E233B9">
        <w:rPr>
          <w:rFonts w:asciiTheme="minorHAnsi" w:hAnsiTheme="minorHAnsi" w:cstheme="minorHAnsi"/>
          <w:lang w:val="en-US"/>
        </w:rPr>
        <w:t xml:space="preserve">. </w:t>
      </w:r>
    </w:p>
    <w:p w14:paraId="058E7945" w14:textId="77777777" w:rsidR="00614D87" w:rsidRPr="00E233B9" w:rsidRDefault="00614D87" w:rsidP="00E233B9">
      <w:pPr>
        <w:spacing w:line="240" w:lineRule="auto"/>
        <w:rPr>
          <w:rFonts w:asciiTheme="minorHAnsi" w:hAnsiTheme="minorHAnsi" w:cstheme="minorHAnsi"/>
          <w:b/>
          <w:lang w:val="en-US"/>
        </w:rPr>
      </w:pPr>
      <w:r w:rsidRPr="00E233B9">
        <w:rPr>
          <w:rFonts w:asciiTheme="minorHAnsi" w:hAnsiTheme="minorHAnsi" w:cstheme="minorHAnsi"/>
          <w:b/>
          <w:lang w:val="en-US"/>
        </w:rPr>
        <w:t xml:space="preserve">Keywords: </w:t>
      </w:r>
      <w:r w:rsidRPr="00E233B9">
        <w:rPr>
          <w:rFonts w:asciiTheme="minorHAnsi" w:hAnsiTheme="minorHAnsi" w:cstheme="minorHAnsi"/>
          <w:lang w:val="en-US"/>
        </w:rPr>
        <w:t>Fertility, cohort dynamics, education, childbearing, APC-GO</w:t>
      </w:r>
    </w:p>
    <w:p w14:paraId="0B69AE5E" w14:textId="77777777" w:rsidR="00614D87" w:rsidRPr="00E233B9" w:rsidRDefault="00614D87" w:rsidP="00E233B9">
      <w:pPr>
        <w:pStyle w:val="Heading1"/>
        <w:spacing w:line="480" w:lineRule="auto"/>
        <w:rPr>
          <w:lang w:val="en-US"/>
        </w:rPr>
      </w:pPr>
      <w:r w:rsidRPr="00E233B9">
        <w:rPr>
          <w:lang w:val="en-US"/>
        </w:rPr>
        <w:lastRenderedPageBreak/>
        <w:t xml:space="preserve">Introduction </w:t>
      </w:r>
    </w:p>
    <w:p w14:paraId="2D678179" w14:textId="5934AD0A" w:rsidR="000016C6" w:rsidRDefault="00B87A57" w:rsidP="00E233B9">
      <w:pPr>
        <w:spacing w:line="480" w:lineRule="auto"/>
        <w:jc w:val="both"/>
        <w:rPr>
          <w:rFonts w:asciiTheme="minorHAnsi" w:hAnsiTheme="minorHAnsi" w:cstheme="minorHAnsi"/>
          <w:lang w:val="en-US"/>
        </w:rPr>
      </w:pPr>
      <w:r w:rsidRPr="00E233B9">
        <w:rPr>
          <w:rFonts w:asciiTheme="minorHAnsi" w:hAnsiTheme="minorHAnsi" w:cstheme="minorHAnsi"/>
          <w:lang w:val="en-US"/>
        </w:rPr>
        <w:t xml:space="preserve">Comparative historical </w:t>
      </w:r>
      <w:r w:rsidR="00FA22AE" w:rsidRPr="00E233B9">
        <w:rPr>
          <w:rFonts w:asciiTheme="minorHAnsi" w:hAnsiTheme="minorHAnsi" w:cstheme="minorHAnsi"/>
          <w:lang w:val="en-US"/>
        </w:rPr>
        <w:t xml:space="preserve">research </w:t>
      </w:r>
      <w:r w:rsidR="001659FE" w:rsidRPr="00E233B9">
        <w:rPr>
          <w:rFonts w:asciiTheme="minorHAnsi" w:hAnsiTheme="minorHAnsi" w:cstheme="minorHAnsi"/>
          <w:lang w:val="en-US"/>
        </w:rPr>
        <w:t>o</w:t>
      </w:r>
      <w:r w:rsidR="00FA22AE" w:rsidRPr="00E233B9">
        <w:rPr>
          <w:rFonts w:asciiTheme="minorHAnsi" w:hAnsiTheme="minorHAnsi" w:cstheme="minorHAnsi"/>
          <w:lang w:val="en-US"/>
        </w:rPr>
        <w:t xml:space="preserve">n </w:t>
      </w:r>
      <w:r w:rsidR="001659FE" w:rsidRPr="00E233B9">
        <w:rPr>
          <w:rFonts w:asciiTheme="minorHAnsi" w:hAnsiTheme="minorHAnsi" w:cstheme="minorHAnsi"/>
          <w:lang w:val="en-US"/>
        </w:rPr>
        <w:t>e</w:t>
      </w:r>
      <w:r w:rsidRPr="00E233B9">
        <w:rPr>
          <w:rFonts w:asciiTheme="minorHAnsi" w:hAnsiTheme="minorHAnsi" w:cstheme="minorHAnsi"/>
          <w:lang w:val="en-US"/>
        </w:rPr>
        <w:t xml:space="preserve">ducational gaps in fertility </w:t>
      </w:r>
      <w:r w:rsidR="008E0B31" w:rsidRPr="00E233B9">
        <w:rPr>
          <w:rFonts w:asciiTheme="minorHAnsi" w:hAnsiTheme="minorHAnsi" w:cstheme="minorHAnsi"/>
          <w:lang w:val="en-US"/>
        </w:rPr>
        <w:t xml:space="preserve">and child-bearing </w:t>
      </w:r>
      <w:r w:rsidRPr="00E233B9">
        <w:rPr>
          <w:rFonts w:asciiTheme="minorHAnsi" w:hAnsiTheme="minorHAnsi" w:cstheme="minorHAnsi"/>
          <w:lang w:val="en-US"/>
        </w:rPr>
        <w:t xml:space="preserve">shows </w:t>
      </w:r>
      <w:r w:rsidR="00FA22AE" w:rsidRPr="00E233B9">
        <w:rPr>
          <w:rFonts w:asciiTheme="minorHAnsi" w:hAnsiTheme="minorHAnsi" w:cstheme="minorHAnsi"/>
          <w:lang w:val="en-US"/>
        </w:rPr>
        <w:t xml:space="preserve">deep, changing contrasts </w:t>
      </w:r>
      <w:r w:rsidR="0082645A" w:rsidRPr="00E233B9">
        <w:rPr>
          <w:rFonts w:asciiTheme="minorHAnsi" w:hAnsiTheme="minorHAnsi" w:cstheme="minorHAnsi"/>
          <w:lang w:val="en-US"/>
        </w:rPr>
        <w:t xml:space="preserve">across countries and time </w:t>
      </w:r>
      <w:r w:rsidR="00FA22AE" w:rsidRPr="00E233B9">
        <w:rPr>
          <w:rFonts w:asciiTheme="minorHAnsi" w:hAnsiTheme="minorHAnsi" w:cstheme="minorHAnsi"/>
          <w:lang w:val="en-US"/>
        </w:rPr>
        <w:t>(</w:t>
      </w:r>
      <w:r w:rsidR="00243312" w:rsidRPr="00E233B9">
        <w:rPr>
          <w:rFonts w:asciiTheme="minorHAnsi" w:hAnsiTheme="minorHAnsi" w:cstheme="minorHAnsi"/>
          <w:lang w:val="en-US"/>
        </w:rPr>
        <w:t xml:space="preserve">Michael 1975, </w:t>
      </w:r>
      <w:proofErr w:type="spellStart"/>
      <w:r w:rsidR="00CE35BC" w:rsidRPr="00E233B9">
        <w:rPr>
          <w:rFonts w:asciiTheme="minorHAnsi" w:hAnsiTheme="minorHAnsi" w:cstheme="minorHAnsi"/>
          <w:lang w:val="en-US"/>
        </w:rPr>
        <w:t>Billari</w:t>
      </w:r>
      <w:proofErr w:type="spellEnd"/>
      <w:r w:rsidR="00CE35BC" w:rsidRPr="00E233B9">
        <w:rPr>
          <w:rFonts w:asciiTheme="minorHAnsi" w:hAnsiTheme="minorHAnsi" w:cstheme="minorHAnsi"/>
          <w:lang w:val="en-US"/>
        </w:rPr>
        <w:t xml:space="preserve"> and </w:t>
      </w:r>
      <w:proofErr w:type="spellStart"/>
      <w:r w:rsidR="00CE35BC" w:rsidRPr="00E233B9">
        <w:rPr>
          <w:rFonts w:asciiTheme="minorHAnsi" w:hAnsiTheme="minorHAnsi" w:cstheme="minorHAnsi"/>
          <w:lang w:val="en-US"/>
        </w:rPr>
        <w:t>Philipov</w:t>
      </w:r>
      <w:proofErr w:type="spellEnd"/>
      <w:r w:rsidR="00CE35BC" w:rsidRPr="00E233B9">
        <w:rPr>
          <w:rFonts w:asciiTheme="minorHAnsi" w:hAnsiTheme="minorHAnsi" w:cstheme="minorHAnsi"/>
          <w:lang w:val="en-US"/>
        </w:rPr>
        <w:t xml:space="preserve"> 2004</w:t>
      </w:r>
      <w:r w:rsidR="00307C70" w:rsidRPr="00E233B9">
        <w:rPr>
          <w:rFonts w:asciiTheme="minorHAnsi" w:hAnsiTheme="minorHAnsi" w:cstheme="minorHAnsi"/>
          <w:lang w:val="en-US"/>
        </w:rPr>
        <w:t xml:space="preserve">, </w:t>
      </w:r>
      <w:r w:rsidR="005868CA" w:rsidRPr="00E233B9">
        <w:rPr>
          <w:rFonts w:asciiTheme="minorHAnsi" w:hAnsiTheme="minorHAnsi" w:cstheme="minorHAnsi"/>
          <w:lang w:val="en-US"/>
        </w:rPr>
        <w:t xml:space="preserve">Shang and Weinberg 2013, </w:t>
      </w:r>
      <w:r w:rsidR="002811EC" w:rsidRPr="00E233B9">
        <w:rPr>
          <w:rFonts w:asciiTheme="minorHAnsi" w:hAnsiTheme="minorHAnsi" w:cstheme="minorHAnsi"/>
          <w:lang w:val="en-US"/>
        </w:rPr>
        <w:t xml:space="preserve">Esping-Andersen and </w:t>
      </w:r>
      <w:proofErr w:type="spellStart"/>
      <w:r w:rsidR="002811EC" w:rsidRPr="00E233B9">
        <w:rPr>
          <w:rFonts w:asciiTheme="minorHAnsi" w:hAnsiTheme="minorHAnsi" w:cstheme="minorHAnsi"/>
          <w:lang w:val="en-US"/>
        </w:rPr>
        <w:t>Billari</w:t>
      </w:r>
      <w:proofErr w:type="spellEnd"/>
      <w:r w:rsidR="002811EC" w:rsidRPr="00E233B9">
        <w:rPr>
          <w:rFonts w:asciiTheme="minorHAnsi" w:hAnsiTheme="minorHAnsi" w:cstheme="minorHAnsi"/>
          <w:lang w:val="en-US"/>
        </w:rPr>
        <w:t xml:space="preserve"> 2015,</w:t>
      </w:r>
      <w:r w:rsidR="00351FC5" w:rsidRPr="00E233B9">
        <w:rPr>
          <w:rFonts w:asciiTheme="minorHAnsi" w:hAnsiTheme="minorHAnsi" w:cstheme="minorHAnsi"/>
          <w:lang w:val="en-US"/>
        </w:rPr>
        <w:t xml:space="preserve"> </w:t>
      </w:r>
      <w:proofErr w:type="spellStart"/>
      <w:r w:rsidR="00307C70" w:rsidRPr="00E233B9">
        <w:rPr>
          <w:rFonts w:asciiTheme="minorHAnsi" w:hAnsiTheme="minorHAnsi" w:cstheme="minorHAnsi"/>
          <w:lang w:val="en-US"/>
        </w:rPr>
        <w:t>Jalovaara</w:t>
      </w:r>
      <w:proofErr w:type="spellEnd"/>
      <w:r w:rsidR="00307C70" w:rsidRPr="00E233B9">
        <w:rPr>
          <w:rFonts w:asciiTheme="minorHAnsi" w:hAnsiTheme="minorHAnsi" w:cstheme="minorHAnsi"/>
          <w:lang w:val="en-US"/>
        </w:rPr>
        <w:t xml:space="preserve"> et al. 2017</w:t>
      </w:r>
      <w:r w:rsidR="00FA22AE" w:rsidRPr="00E233B9">
        <w:rPr>
          <w:rFonts w:asciiTheme="minorHAnsi" w:hAnsiTheme="minorHAnsi" w:cstheme="minorHAnsi"/>
          <w:lang w:val="en-US"/>
        </w:rPr>
        <w:t>)</w:t>
      </w:r>
      <w:r w:rsidR="00737733" w:rsidRPr="00E233B9">
        <w:rPr>
          <w:rFonts w:asciiTheme="minorHAnsi" w:hAnsiTheme="minorHAnsi" w:cstheme="minorHAnsi"/>
          <w:lang w:val="en-US"/>
        </w:rPr>
        <w:t>.</w:t>
      </w:r>
      <w:r w:rsidR="00FA22AE" w:rsidRPr="00E233B9">
        <w:rPr>
          <w:rFonts w:asciiTheme="minorHAnsi" w:hAnsiTheme="minorHAnsi" w:cstheme="minorHAnsi"/>
          <w:lang w:val="en-US"/>
        </w:rPr>
        <w:t xml:space="preserve"> </w:t>
      </w:r>
      <w:r w:rsidR="005B3A11" w:rsidRPr="00E233B9">
        <w:rPr>
          <w:rFonts w:asciiTheme="minorHAnsi" w:hAnsiTheme="minorHAnsi" w:cstheme="minorHAnsi"/>
          <w:lang w:val="en-US"/>
        </w:rPr>
        <w:t>Social scientists</w:t>
      </w:r>
      <w:r w:rsidR="00FA22AE" w:rsidRPr="00E233B9">
        <w:rPr>
          <w:rFonts w:asciiTheme="minorHAnsi" w:hAnsiTheme="minorHAnsi" w:cstheme="minorHAnsi"/>
          <w:lang w:val="en-US"/>
        </w:rPr>
        <w:t xml:space="preserve"> (</w:t>
      </w:r>
      <w:r w:rsidR="00B75EB3" w:rsidRPr="00E233B9">
        <w:rPr>
          <w:rFonts w:asciiTheme="minorHAnsi" w:hAnsiTheme="minorHAnsi" w:cstheme="minorHAnsi"/>
          <w:lang w:val="en-US"/>
        </w:rPr>
        <w:t xml:space="preserve">e.g. </w:t>
      </w:r>
      <w:r w:rsidR="00FA22AE" w:rsidRPr="00E233B9">
        <w:rPr>
          <w:rFonts w:asciiTheme="minorHAnsi" w:hAnsiTheme="minorHAnsi" w:cstheme="minorHAnsi"/>
          <w:lang w:val="en-US"/>
        </w:rPr>
        <w:t>Esping</w:t>
      </w:r>
      <w:r w:rsidR="005B3A11" w:rsidRPr="00E233B9">
        <w:rPr>
          <w:rFonts w:asciiTheme="minorHAnsi" w:hAnsiTheme="minorHAnsi" w:cstheme="minorHAnsi"/>
          <w:lang w:val="en-US"/>
        </w:rPr>
        <w:t>-</w:t>
      </w:r>
      <w:r w:rsidR="00FA22AE" w:rsidRPr="00E233B9">
        <w:rPr>
          <w:rFonts w:asciiTheme="minorHAnsi" w:hAnsiTheme="minorHAnsi" w:cstheme="minorHAnsi"/>
          <w:lang w:val="en-US"/>
        </w:rPr>
        <w:t>Andersen</w:t>
      </w:r>
      <w:r w:rsidR="00307C70" w:rsidRPr="00E233B9">
        <w:rPr>
          <w:rFonts w:asciiTheme="minorHAnsi" w:hAnsiTheme="minorHAnsi" w:cstheme="minorHAnsi"/>
          <w:lang w:val="en-US"/>
        </w:rPr>
        <w:t xml:space="preserve"> 2009</w:t>
      </w:r>
      <w:r w:rsidR="00FA22AE" w:rsidRPr="00E233B9">
        <w:rPr>
          <w:rFonts w:asciiTheme="minorHAnsi" w:hAnsiTheme="minorHAnsi" w:cstheme="minorHAnsi"/>
          <w:lang w:val="en-US"/>
        </w:rPr>
        <w:t xml:space="preserve">) </w:t>
      </w:r>
      <w:r w:rsidR="005B3A11" w:rsidRPr="00E233B9">
        <w:rPr>
          <w:rFonts w:asciiTheme="minorHAnsi" w:hAnsiTheme="minorHAnsi" w:cstheme="minorHAnsi"/>
          <w:lang w:val="en-US"/>
        </w:rPr>
        <w:t xml:space="preserve">claim </w:t>
      </w:r>
      <w:r w:rsidR="00FA22AE" w:rsidRPr="00E233B9">
        <w:rPr>
          <w:rFonts w:asciiTheme="minorHAnsi" w:hAnsiTheme="minorHAnsi" w:cstheme="minorHAnsi"/>
          <w:lang w:val="en-US"/>
        </w:rPr>
        <w:t xml:space="preserve">that in the recent transformations </w:t>
      </w:r>
      <w:r w:rsidR="001659FE" w:rsidRPr="00E233B9">
        <w:rPr>
          <w:rFonts w:asciiTheme="minorHAnsi" w:hAnsiTheme="minorHAnsi" w:cstheme="minorHAnsi"/>
          <w:lang w:val="en-US"/>
        </w:rPr>
        <w:t xml:space="preserve">towards a more </w:t>
      </w:r>
      <w:r w:rsidR="00FA22AE" w:rsidRPr="00E233B9">
        <w:rPr>
          <w:rFonts w:asciiTheme="minorHAnsi" w:hAnsiTheme="minorHAnsi" w:cstheme="minorHAnsi"/>
          <w:lang w:val="en-US"/>
        </w:rPr>
        <w:t>targeted welfare state, middle and upper-middle</w:t>
      </w:r>
      <w:r w:rsidR="001659FE" w:rsidRPr="00E233B9">
        <w:rPr>
          <w:rFonts w:asciiTheme="minorHAnsi" w:hAnsiTheme="minorHAnsi" w:cstheme="minorHAnsi"/>
          <w:lang w:val="en-US"/>
        </w:rPr>
        <w:t xml:space="preserve"> class</w:t>
      </w:r>
      <w:r w:rsidR="00FA22AE" w:rsidRPr="00E233B9">
        <w:rPr>
          <w:rFonts w:asciiTheme="minorHAnsi" w:hAnsiTheme="minorHAnsi" w:cstheme="minorHAnsi"/>
          <w:lang w:val="en-US"/>
        </w:rPr>
        <w:t xml:space="preserve"> well</w:t>
      </w:r>
      <w:r w:rsidR="005B3A11" w:rsidRPr="00E233B9">
        <w:rPr>
          <w:rFonts w:asciiTheme="minorHAnsi" w:hAnsiTheme="minorHAnsi" w:cstheme="minorHAnsi"/>
          <w:lang w:val="en-US"/>
        </w:rPr>
        <w:t>-</w:t>
      </w:r>
      <w:r w:rsidR="00FA22AE" w:rsidRPr="00E233B9">
        <w:rPr>
          <w:rFonts w:asciiTheme="minorHAnsi" w:hAnsiTheme="minorHAnsi" w:cstheme="minorHAnsi"/>
          <w:lang w:val="en-US"/>
        </w:rPr>
        <w:t xml:space="preserve">educated women </w:t>
      </w:r>
      <w:r w:rsidR="001659FE" w:rsidRPr="00E233B9">
        <w:rPr>
          <w:rFonts w:asciiTheme="minorHAnsi" w:hAnsiTheme="minorHAnsi" w:cstheme="minorHAnsi"/>
          <w:lang w:val="en-US"/>
        </w:rPr>
        <w:t xml:space="preserve">have experienced </w:t>
      </w:r>
      <w:r w:rsidR="00FA22AE" w:rsidRPr="00E233B9">
        <w:rPr>
          <w:rFonts w:asciiTheme="minorHAnsi" w:hAnsiTheme="minorHAnsi" w:cstheme="minorHAnsi"/>
          <w:lang w:val="en-US"/>
        </w:rPr>
        <w:t xml:space="preserve">a </w:t>
      </w:r>
      <w:r w:rsidR="005B3A11" w:rsidRPr="00E233B9">
        <w:rPr>
          <w:rFonts w:asciiTheme="minorHAnsi" w:hAnsiTheme="minorHAnsi" w:cstheme="minorHAnsi"/>
          <w:lang w:val="en-US"/>
        </w:rPr>
        <w:t>dis</w:t>
      </w:r>
      <w:r w:rsidR="00FA22AE" w:rsidRPr="00E233B9">
        <w:rPr>
          <w:rFonts w:asciiTheme="minorHAnsi" w:hAnsiTheme="minorHAnsi" w:cstheme="minorHAnsi"/>
          <w:lang w:val="en-US"/>
        </w:rPr>
        <w:t>proportional</w:t>
      </w:r>
      <w:r w:rsidR="005B3A11" w:rsidRPr="00E233B9">
        <w:rPr>
          <w:rFonts w:asciiTheme="minorHAnsi" w:hAnsiTheme="minorHAnsi" w:cstheme="minorHAnsi"/>
          <w:lang w:val="en-US"/>
        </w:rPr>
        <w:t>ly stark</w:t>
      </w:r>
      <w:r w:rsidR="00FA22AE" w:rsidRPr="00E233B9">
        <w:rPr>
          <w:rFonts w:asciiTheme="minorHAnsi" w:hAnsiTheme="minorHAnsi" w:cstheme="minorHAnsi"/>
          <w:lang w:val="en-US"/>
        </w:rPr>
        <w:t xml:space="preserve"> decline in fertility due to increasing generalized costs </w:t>
      </w:r>
      <w:r w:rsidR="005B3A11" w:rsidRPr="00E233B9">
        <w:rPr>
          <w:rFonts w:asciiTheme="minorHAnsi" w:hAnsiTheme="minorHAnsi" w:cstheme="minorHAnsi"/>
          <w:lang w:val="en-US"/>
        </w:rPr>
        <w:t>of family investments</w:t>
      </w:r>
      <w:r w:rsidR="001659FE" w:rsidRPr="00E233B9">
        <w:rPr>
          <w:rFonts w:asciiTheme="minorHAnsi" w:hAnsiTheme="minorHAnsi" w:cstheme="minorHAnsi"/>
          <w:lang w:val="en-US"/>
        </w:rPr>
        <w:t xml:space="preserve"> (education, career, child care, etc.)</w:t>
      </w:r>
      <w:r w:rsidR="005B3A11" w:rsidRPr="00E233B9">
        <w:rPr>
          <w:rFonts w:asciiTheme="minorHAnsi" w:hAnsiTheme="minorHAnsi" w:cstheme="minorHAnsi"/>
          <w:lang w:val="en-US"/>
        </w:rPr>
        <w:t xml:space="preserve"> for </w:t>
      </w:r>
      <w:r w:rsidR="001659FE" w:rsidRPr="00E233B9">
        <w:rPr>
          <w:rFonts w:asciiTheme="minorHAnsi" w:hAnsiTheme="minorHAnsi" w:cstheme="minorHAnsi"/>
          <w:lang w:val="en-US"/>
        </w:rPr>
        <w:t xml:space="preserve">higher-educated </w:t>
      </w:r>
      <w:r w:rsidR="005B3A11" w:rsidRPr="00E233B9">
        <w:rPr>
          <w:rFonts w:asciiTheme="minorHAnsi" w:hAnsiTheme="minorHAnsi" w:cstheme="minorHAnsi"/>
          <w:lang w:val="en-US"/>
        </w:rPr>
        <w:t>women</w:t>
      </w:r>
      <w:r w:rsidR="00FA22AE" w:rsidRPr="00E233B9">
        <w:rPr>
          <w:rFonts w:asciiTheme="minorHAnsi" w:hAnsiTheme="minorHAnsi" w:cstheme="minorHAnsi"/>
          <w:lang w:val="en-US"/>
        </w:rPr>
        <w:t xml:space="preserve">. </w:t>
      </w:r>
      <w:r w:rsidR="001018F6" w:rsidRPr="00E233B9">
        <w:rPr>
          <w:rFonts w:asciiTheme="minorHAnsi" w:hAnsiTheme="minorHAnsi" w:cstheme="minorHAnsi"/>
          <w:lang w:val="en-US"/>
        </w:rPr>
        <w:t>This phenomenon has a strong birth cohort background (</w:t>
      </w:r>
      <w:proofErr w:type="spellStart"/>
      <w:r w:rsidR="001018F6" w:rsidRPr="00E233B9">
        <w:rPr>
          <w:rFonts w:asciiTheme="minorHAnsi" w:hAnsiTheme="minorHAnsi" w:cstheme="minorHAnsi"/>
          <w:lang w:val="en-US"/>
        </w:rPr>
        <w:t>Whelpton</w:t>
      </w:r>
      <w:proofErr w:type="spellEnd"/>
      <w:r w:rsidR="00442B92" w:rsidRPr="00E233B9">
        <w:rPr>
          <w:rFonts w:asciiTheme="minorHAnsi" w:hAnsiTheme="minorHAnsi" w:cstheme="minorHAnsi"/>
          <w:lang w:val="en-US"/>
        </w:rPr>
        <w:t xml:space="preserve"> 1949</w:t>
      </w:r>
      <w:r w:rsidR="001018F6" w:rsidRPr="00E233B9">
        <w:rPr>
          <w:rFonts w:asciiTheme="minorHAnsi" w:hAnsiTheme="minorHAnsi" w:cstheme="minorHAnsi"/>
          <w:lang w:val="en-US"/>
        </w:rPr>
        <w:t>, Ryder</w:t>
      </w:r>
      <w:r w:rsidR="00442B92" w:rsidRPr="00E233B9">
        <w:rPr>
          <w:rFonts w:asciiTheme="minorHAnsi" w:hAnsiTheme="minorHAnsi" w:cstheme="minorHAnsi"/>
          <w:lang w:val="en-US"/>
        </w:rPr>
        <w:t xml:space="preserve"> 1965</w:t>
      </w:r>
      <w:r w:rsidR="001018F6" w:rsidRPr="00E233B9">
        <w:rPr>
          <w:rFonts w:asciiTheme="minorHAnsi" w:hAnsiTheme="minorHAnsi" w:cstheme="minorHAnsi"/>
          <w:lang w:val="en-US"/>
        </w:rPr>
        <w:t>): the educational gap in fertility is a central</w:t>
      </w:r>
      <w:r w:rsidR="00B32339" w:rsidRPr="00E233B9">
        <w:rPr>
          <w:rFonts w:asciiTheme="minorHAnsi" w:hAnsiTheme="minorHAnsi" w:cstheme="minorHAnsi"/>
          <w:lang w:val="en-US"/>
        </w:rPr>
        <w:t xml:space="preserve"> dimension of </w:t>
      </w:r>
      <w:r w:rsidR="001018F6" w:rsidRPr="00E233B9">
        <w:rPr>
          <w:rFonts w:asciiTheme="minorHAnsi" w:hAnsiTheme="minorHAnsi" w:cstheme="minorHAnsi"/>
          <w:lang w:val="en-US"/>
        </w:rPr>
        <w:t>the “</w:t>
      </w:r>
      <w:r w:rsidR="001659FE" w:rsidRPr="00E233B9">
        <w:rPr>
          <w:rFonts w:asciiTheme="minorHAnsi" w:hAnsiTheme="minorHAnsi" w:cstheme="minorHAnsi"/>
          <w:lang w:val="en-US"/>
        </w:rPr>
        <w:t>d</w:t>
      </w:r>
      <w:r w:rsidR="001018F6" w:rsidRPr="00E233B9">
        <w:rPr>
          <w:rFonts w:asciiTheme="minorHAnsi" w:hAnsiTheme="minorHAnsi" w:cstheme="minorHAnsi"/>
          <w:lang w:val="en-US"/>
        </w:rPr>
        <w:t>emographic metabolism” (Lutz</w:t>
      </w:r>
      <w:r w:rsidR="001659FE" w:rsidRPr="00E233B9">
        <w:rPr>
          <w:rFonts w:asciiTheme="minorHAnsi" w:hAnsiTheme="minorHAnsi" w:cstheme="minorHAnsi"/>
          <w:lang w:val="en-US"/>
        </w:rPr>
        <w:t xml:space="preserve"> 2013</w:t>
      </w:r>
      <w:r w:rsidR="001018F6" w:rsidRPr="00E233B9">
        <w:rPr>
          <w:rFonts w:asciiTheme="minorHAnsi" w:hAnsiTheme="minorHAnsi" w:cstheme="minorHAnsi"/>
          <w:lang w:val="en-US"/>
        </w:rPr>
        <w:t xml:space="preserve">) of birth cohort reproduction and replacement. </w:t>
      </w:r>
      <w:r w:rsidR="0001603B" w:rsidRPr="00E233B9">
        <w:rPr>
          <w:rFonts w:asciiTheme="minorHAnsi" w:hAnsiTheme="minorHAnsi" w:cstheme="minorHAnsi"/>
          <w:lang w:val="en-US"/>
        </w:rPr>
        <w:t>Yet, comparative studies</w:t>
      </w:r>
      <w:r w:rsidR="00CE35BC" w:rsidRPr="00E233B9">
        <w:rPr>
          <w:rFonts w:asciiTheme="minorHAnsi" w:hAnsiTheme="minorHAnsi" w:cstheme="minorHAnsi"/>
          <w:lang w:val="en-US"/>
        </w:rPr>
        <w:t xml:space="preserve"> on this topic, especially those</w:t>
      </w:r>
      <w:r w:rsidR="0001603B" w:rsidRPr="00E233B9">
        <w:rPr>
          <w:rFonts w:asciiTheme="minorHAnsi" w:hAnsiTheme="minorHAnsi" w:cstheme="minorHAnsi"/>
          <w:lang w:val="en-US"/>
        </w:rPr>
        <w:t xml:space="preserve"> </w:t>
      </w:r>
      <w:r w:rsidR="00207431" w:rsidRPr="00E233B9">
        <w:rPr>
          <w:rFonts w:asciiTheme="minorHAnsi" w:hAnsiTheme="minorHAnsi" w:cstheme="minorHAnsi"/>
          <w:lang w:val="en-US"/>
        </w:rPr>
        <w:t>looking at cohort trends</w:t>
      </w:r>
      <w:r w:rsidR="00CE35BC" w:rsidRPr="00E233B9">
        <w:rPr>
          <w:rFonts w:asciiTheme="minorHAnsi" w:hAnsiTheme="minorHAnsi" w:cstheme="minorHAnsi"/>
          <w:lang w:val="en-US"/>
        </w:rPr>
        <w:t>,</w:t>
      </w:r>
      <w:r w:rsidR="00207431" w:rsidRPr="00E233B9">
        <w:rPr>
          <w:rFonts w:asciiTheme="minorHAnsi" w:hAnsiTheme="minorHAnsi" w:cstheme="minorHAnsi"/>
          <w:lang w:val="en-US"/>
        </w:rPr>
        <w:t xml:space="preserve"> </w:t>
      </w:r>
      <w:r w:rsidR="0001603B" w:rsidRPr="00E233B9">
        <w:rPr>
          <w:rFonts w:asciiTheme="minorHAnsi" w:hAnsiTheme="minorHAnsi" w:cstheme="minorHAnsi"/>
          <w:lang w:val="en-US"/>
        </w:rPr>
        <w:t>are rare.</w:t>
      </w:r>
      <w:r w:rsidR="00AD6677" w:rsidRPr="00E233B9">
        <w:rPr>
          <w:rFonts w:asciiTheme="minorHAnsi" w:hAnsiTheme="minorHAnsi" w:cstheme="minorHAnsi"/>
          <w:lang w:val="en-US"/>
        </w:rPr>
        <w:t xml:space="preserve"> </w:t>
      </w:r>
    </w:p>
    <w:p w14:paraId="25C28326" w14:textId="6C97DC46" w:rsidR="00B902A0" w:rsidRDefault="00AD6677" w:rsidP="00E233B9">
      <w:pPr>
        <w:spacing w:line="480" w:lineRule="auto"/>
        <w:jc w:val="both"/>
        <w:rPr>
          <w:rFonts w:asciiTheme="minorHAnsi" w:hAnsiTheme="minorHAnsi" w:cstheme="minorHAnsi"/>
          <w:lang w:val="en-US"/>
        </w:rPr>
      </w:pPr>
      <w:r w:rsidRPr="00E233B9">
        <w:rPr>
          <w:rFonts w:asciiTheme="minorHAnsi" w:hAnsiTheme="minorHAnsi" w:cstheme="minorHAnsi"/>
          <w:lang w:val="en-US"/>
        </w:rPr>
        <w:t>In this paper, we study the extended social fertility (ESF)</w:t>
      </w:r>
      <w:r w:rsidR="007C0234" w:rsidRPr="00E233B9">
        <w:rPr>
          <w:rFonts w:asciiTheme="minorHAnsi" w:hAnsiTheme="minorHAnsi" w:cstheme="minorHAnsi"/>
          <w:lang w:val="en-US"/>
        </w:rPr>
        <w:t>, which we define as</w:t>
      </w:r>
      <w:r w:rsidRPr="00E233B9">
        <w:rPr>
          <w:rFonts w:asciiTheme="minorHAnsi" w:hAnsiTheme="minorHAnsi" w:cstheme="minorHAnsi"/>
          <w:lang w:val="en-US"/>
        </w:rPr>
        <w:t xml:space="preserve"> the number of children in the househol</w:t>
      </w:r>
      <w:r w:rsidR="007C0234" w:rsidRPr="00E233B9">
        <w:rPr>
          <w:rFonts w:asciiTheme="minorHAnsi" w:hAnsiTheme="minorHAnsi" w:cstheme="minorHAnsi"/>
          <w:lang w:val="en-US"/>
        </w:rPr>
        <w:t xml:space="preserve">d </w:t>
      </w:r>
      <w:r w:rsidRPr="00E233B9">
        <w:rPr>
          <w:rFonts w:asciiTheme="minorHAnsi" w:hAnsiTheme="minorHAnsi" w:cstheme="minorHAnsi"/>
          <w:lang w:val="en-US"/>
        </w:rPr>
        <w:t>includ</w:t>
      </w:r>
      <w:r w:rsidR="007C0234" w:rsidRPr="00E233B9">
        <w:rPr>
          <w:rFonts w:asciiTheme="minorHAnsi" w:hAnsiTheme="minorHAnsi" w:cstheme="minorHAnsi"/>
          <w:lang w:val="en-US"/>
        </w:rPr>
        <w:t>ing</w:t>
      </w:r>
      <w:r w:rsidRPr="00E233B9">
        <w:rPr>
          <w:rFonts w:asciiTheme="minorHAnsi" w:hAnsiTheme="minorHAnsi" w:cstheme="minorHAnsi"/>
          <w:lang w:val="en-US"/>
        </w:rPr>
        <w:t xml:space="preserve"> </w:t>
      </w:r>
      <w:r w:rsidR="00B75EB3" w:rsidRPr="00E233B9">
        <w:rPr>
          <w:rFonts w:asciiTheme="minorHAnsi" w:hAnsiTheme="minorHAnsi" w:cstheme="minorHAnsi"/>
          <w:lang w:val="en-US"/>
        </w:rPr>
        <w:t xml:space="preserve">thus </w:t>
      </w:r>
      <w:r w:rsidRPr="00E233B9">
        <w:rPr>
          <w:rFonts w:asciiTheme="minorHAnsi" w:hAnsiTheme="minorHAnsi" w:cstheme="minorHAnsi"/>
          <w:lang w:val="en-US"/>
        </w:rPr>
        <w:t>adopted</w:t>
      </w:r>
      <w:r w:rsidR="00B75EB3" w:rsidRPr="00E233B9">
        <w:rPr>
          <w:rFonts w:asciiTheme="minorHAnsi" w:hAnsiTheme="minorHAnsi" w:cstheme="minorHAnsi"/>
          <w:lang w:val="en-US"/>
        </w:rPr>
        <w:t xml:space="preserve"> </w:t>
      </w:r>
      <w:r w:rsidRPr="00E233B9">
        <w:rPr>
          <w:rFonts w:asciiTheme="minorHAnsi" w:hAnsiTheme="minorHAnsi" w:cstheme="minorHAnsi"/>
          <w:lang w:val="en-US"/>
        </w:rPr>
        <w:t>children</w:t>
      </w:r>
      <w:r w:rsidR="00B75EB3" w:rsidRPr="00E233B9">
        <w:rPr>
          <w:rFonts w:asciiTheme="minorHAnsi" w:hAnsiTheme="minorHAnsi" w:cstheme="minorHAnsi"/>
          <w:lang w:val="en-US"/>
        </w:rPr>
        <w:t xml:space="preserve"> as well as those from patchwork families</w:t>
      </w:r>
      <w:r w:rsidR="007C0234" w:rsidRPr="00E233B9">
        <w:rPr>
          <w:rFonts w:asciiTheme="minorHAnsi" w:hAnsiTheme="minorHAnsi" w:cstheme="minorHAnsi"/>
          <w:lang w:val="en-US"/>
        </w:rPr>
        <w:t>.</w:t>
      </w:r>
      <w:r w:rsidR="00B75EB3" w:rsidRPr="00E233B9">
        <w:rPr>
          <w:rFonts w:asciiTheme="minorHAnsi" w:hAnsiTheme="minorHAnsi" w:cstheme="minorHAnsi"/>
          <w:lang w:val="en-US"/>
        </w:rPr>
        <w:t xml:space="preserve"> It differs thus from the strict, traditional definition of fertility in the sense that ESF also </w:t>
      </w:r>
      <w:r w:rsidR="00B32339" w:rsidRPr="00E233B9">
        <w:rPr>
          <w:rFonts w:asciiTheme="minorHAnsi" w:hAnsiTheme="minorHAnsi" w:cstheme="minorHAnsi"/>
          <w:lang w:val="en-US"/>
        </w:rPr>
        <w:t xml:space="preserve">includes </w:t>
      </w:r>
      <w:r w:rsidR="00B75EB3" w:rsidRPr="00E233B9">
        <w:rPr>
          <w:rFonts w:asciiTheme="minorHAnsi" w:hAnsiTheme="minorHAnsi" w:cstheme="minorHAnsi"/>
          <w:lang w:val="en-US"/>
        </w:rPr>
        <w:t>non-biological children reflecting</w:t>
      </w:r>
      <w:r w:rsidR="007C0234" w:rsidRPr="00E233B9">
        <w:rPr>
          <w:rFonts w:asciiTheme="minorHAnsi" w:hAnsiTheme="minorHAnsi" w:cstheme="minorHAnsi"/>
          <w:lang w:val="en-US"/>
        </w:rPr>
        <w:t xml:space="preserve"> the wider concept of “contribution to social reproduction”. </w:t>
      </w:r>
    </w:p>
    <w:p w14:paraId="4E88781B" w14:textId="1D1A1F8F" w:rsidR="001C046C" w:rsidRDefault="001C046C" w:rsidP="001C046C">
      <w:pPr>
        <w:spacing w:line="480" w:lineRule="auto"/>
        <w:jc w:val="both"/>
        <w:rPr>
          <w:rFonts w:asciiTheme="minorHAnsi" w:hAnsiTheme="minorHAnsi" w:cstheme="minorHAnsi"/>
          <w:lang w:val="en-US"/>
        </w:rPr>
      </w:pPr>
      <w:r>
        <w:rPr>
          <w:rFonts w:asciiTheme="minorHAnsi" w:hAnsiTheme="minorHAnsi" w:cstheme="minorHAnsi"/>
          <w:lang w:val="en-US"/>
        </w:rPr>
        <w:t>A</w:t>
      </w:r>
      <w:r w:rsidRPr="004812F2">
        <w:rPr>
          <w:rFonts w:asciiTheme="minorHAnsi" w:hAnsiTheme="minorHAnsi" w:cstheme="minorHAnsi"/>
          <w:lang w:val="en-US"/>
        </w:rPr>
        <w:t xml:space="preserve">s </w:t>
      </w:r>
      <w:r>
        <w:rPr>
          <w:rFonts w:asciiTheme="minorHAnsi" w:hAnsiTheme="minorHAnsi" w:cstheme="minorHAnsi"/>
          <w:lang w:val="en-US"/>
        </w:rPr>
        <w:t>other</w:t>
      </w:r>
      <w:r w:rsidRPr="004812F2">
        <w:rPr>
          <w:rFonts w:asciiTheme="minorHAnsi" w:hAnsiTheme="minorHAnsi" w:cstheme="minorHAnsi"/>
          <w:lang w:val="en-US"/>
        </w:rPr>
        <w:t xml:space="preserve"> demographic processes</w:t>
      </w:r>
      <w:r>
        <w:rPr>
          <w:rFonts w:asciiTheme="minorHAnsi" w:hAnsiTheme="minorHAnsi" w:cstheme="minorHAnsi"/>
          <w:lang w:val="en-US"/>
        </w:rPr>
        <w:t xml:space="preserve">, </w:t>
      </w:r>
      <w:r w:rsidRPr="004812F2">
        <w:rPr>
          <w:rFonts w:asciiTheme="minorHAnsi" w:hAnsiTheme="minorHAnsi" w:cstheme="minorHAnsi"/>
          <w:lang w:val="en-US"/>
        </w:rPr>
        <w:t xml:space="preserve">changes in the fertility </w:t>
      </w:r>
      <w:proofErr w:type="spellStart"/>
      <w:r w:rsidRPr="004812F2">
        <w:rPr>
          <w:rFonts w:asciiTheme="minorHAnsi" w:hAnsiTheme="minorHAnsi" w:cstheme="minorHAnsi"/>
          <w:lang w:val="en-US"/>
        </w:rPr>
        <w:t>behaviour</w:t>
      </w:r>
      <w:proofErr w:type="spellEnd"/>
      <w:r w:rsidRPr="004812F2">
        <w:rPr>
          <w:rFonts w:asciiTheme="minorHAnsi" w:hAnsiTheme="minorHAnsi" w:cstheme="minorHAnsi"/>
          <w:lang w:val="en-US"/>
        </w:rPr>
        <w:t xml:space="preserve"> reflect a combination of age, period and cohort effects. For instance, younger cohorts of women may have more permissive attitudes towards non-marital births, abortion and delayed motherhood. Further, these changes can also affect all age groups of society in a much broader scale. For example</w:t>
      </w:r>
      <w:r>
        <w:rPr>
          <w:rFonts w:asciiTheme="minorHAnsi" w:hAnsiTheme="minorHAnsi" w:cstheme="minorHAnsi"/>
          <w:lang w:val="en-US"/>
        </w:rPr>
        <w:t>,</w:t>
      </w:r>
      <w:r w:rsidRPr="004812F2">
        <w:rPr>
          <w:rFonts w:asciiTheme="minorHAnsi" w:hAnsiTheme="minorHAnsi" w:cstheme="minorHAnsi"/>
          <w:lang w:val="en-US"/>
        </w:rPr>
        <w:t xml:space="preserve"> the introduction of oral contraception impacted a broad age range of women and the changing </w:t>
      </w:r>
      <w:proofErr w:type="spellStart"/>
      <w:r w:rsidRPr="004812F2">
        <w:rPr>
          <w:rFonts w:asciiTheme="minorHAnsi" w:hAnsiTheme="minorHAnsi" w:cstheme="minorHAnsi"/>
          <w:lang w:val="en-US"/>
        </w:rPr>
        <w:t>behaviour</w:t>
      </w:r>
      <w:proofErr w:type="spellEnd"/>
      <w:r w:rsidRPr="004812F2">
        <w:rPr>
          <w:rFonts w:asciiTheme="minorHAnsi" w:hAnsiTheme="minorHAnsi" w:cstheme="minorHAnsi"/>
          <w:lang w:val="en-US"/>
        </w:rPr>
        <w:t xml:space="preserve"> is affecting several cohorts almost simultaneously. </w:t>
      </w:r>
      <w:r>
        <w:rPr>
          <w:rFonts w:asciiTheme="minorHAnsi" w:hAnsiTheme="minorHAnsi" w:cstheme="minorHAnsi"/>
          <w:lang w:val="en-US"/>
        </w:rPr>
        <w:t>Therefore, we apply innovative age -period-cohort methods to study the trend in the educational gap in ESF: First</w:t>
      </w:r>
      <w:r w:rsidRPr="00A2707E">
        <w:rPr>
          <w:rFonts w:asciiTheme="minorHAnsi" w:hAnsiTheme="minorHAnsi" w:cstheme="minorHAnsi"/>
          <w:lang w:val="en-US"/>
        </w:rPr>
        <w:t xml:space="preserve">, we apply the </w:t>
      </w:r>
      <w:proofErr w:type="spellStart"/>
      <w:r w:rsidRPr="00AF04FD">
        <w:rPr>
          <w:rFonts w:asciiTheme="minorHAnsi" w:hAnsiTheme="minorHAnsi" w:cstheme="minorHAnsi"/>
          <w:lang w:val="en-US"/>
        </w:rPr>
        <w:t>APCTlag</w:t>
      </w:r>
      <w:proofErr w:type="spellEnd"/>
      <w:r w:rsidRPr="00A2707E">
        <w:rPr>
          <w:rFonts w:asciiTheme="minorHAnsi" w:hAnsiTheme="minorHAnsi" w:cstheme="minorHAnsi"/>
          <w:lang w:val="en-US"/>
        </w:rPr>
        <w:t xml:space="preserve"> </w:t>
      </w:r>
      <w:r>
        <w:rPr>
          <w:rFonts w:asciiTheme="minorHAnsi" w:hAnsiTheme="minorHAnsi" w:cstheme="minorHAnsi"/>
          <w:lang w:val="en-US"/>
        </w:rPr>
        <w:t>(</w:t>
      </w:r>
      <w:r w:rsidRPr="002807C9">
        <w:rPr>
          <w:rFonts w:asciiTheme="minorHAnsi" w:hAnsiTheme="minorHAnsi" w:cstheme="minorHAnsi"/>
          <w:lang w:val="en-US"/>
        </w:rPr>
        <w:t>Age-Period-Cohort-Trended Lag</w:t>
      </w:r>
      <w:r>
        <w:rPr>
          <w:rFonts w:asciiTheme="minorHAnsi" w:hAnsiTheme="minorHAnsi" w:cstheme="minorHAnsi"/>
          <w:lang w:val="en-US"/>
        </w:rPr>
        <w:t xml:space="preserve">) </w:t>
      </w:r>
      <w:r w:rsidRPr="00A2707E">
        <w:rPr>
          <w:rFonts w:asciiTheme="minorHAnsi" w:hAnsiTheme="minorHAnsi" w:cstheme="minorHAnsi"/>
          <w:lang w:val="en-US"/>
        </w:rPr>
        <w:t>method to estimate the group specific cohort trends</w:t>
      </w:r>
      <w:r>
        <w:rPr>
          <w:rFonts w:asciiTheme="minorHAnsi" w:hAnsiTheme="minorHAnsi" w:cstheme="minorHAnsi"/>
          <w:lang w:val="en-US"/>
        </w:rPr>
        <w:t xml:space="preserve"> </w:t>
      </w:r>
      <w:r w:rsidRPr="002807C9">
        <w:rPr>
          <w:rFonts w:asciiTheme="minorHAnsi" w:hAnsiTheme="minorHAnsi" w:cstheme="minorHAnsi"/>
          <w:lang w:val="en-US"/>
        </w:rPr>
        <w:t>(</w:t>
      </w:r>
      <w:r>
        <w:rPr>
          <w:rFonts w:asciiTheme="minorHAnsi" w:hAnsiTheme="minorHAnsi" w:cstheme="minorHAnsi"/>
          <w:lang w:val="en-US"/>
        </w:rPr>
        <w:t>Chau</w:t>
      </w:r>
      <w:r w:rsidRPr="002807C9">
        <w:rPr>
          <w:rFonts w:asciiTheme="minorHAnsi" w:hAnsiTheme="minorHAnsi" w:cstheme="minorHAnsi"/>
          <w:lang w:val="en-US"/>
        </w:rPr>
        <w:t xml:space="preserve">vel, </w:t>
      </w:r>
      <w:proofErr w:type="spellStart"/>
      <w:r w:rsidRPr="002807C9">
        <w:rPr>
          <w:rFonts w:asciiTheme="minorHAnsi" w:hAnsiTheme="minorHAnsi" w:cstheme="minorHAnsi"/>
          <w:lang w:val="en-US"/>
        </w:rPr>
        <w:t>Leist</w:t>
      </w:r>
      <w:proofErr w:type="spellEnd"/>
      <w:r w:rsidRPr="002807C9">
        <w:rPr>
          <w:rFonts w:asciiTheme="minorHAnsi" w:hAnsiTheme="minorHAnsi" w:cstheme="minorHAnsi"/>
          <w:lang w:val="en-US"/>
        </w:rPr>
        <w:t xml:space="preserve"> &amp; </w:t>
      </w:r>
      <w:proofErr w:type="spellStart"/>
      <w:r w:rsidRPr="002807C9">
        <w:rPr>
          <w:rFonts w:asciiTheme="minorHAnsi" w:hAnsiTheme="minorHAnsi" w:cstheme="minorHAnsi"/>
          <w:lang w:val="en-US"/>
        </w:rPr>
        <w:t>Ponomarenko</w:t>
      </w:r>
      <w:proofErr w:type="spellEnd"/>
      <w:r w:rsidRPr="002807C9">
        <w:rPr>
          <w:rFonts w:asciiTheme="minorHAnsi" w:hAnsiTheme="minorHAnsi" w:cstheme="minorHAnsi"/>
          <w:lang w:val="en-US"/>
        </w:rPr>
        <w:t xml:space="preserve"> 2016)</w:t>
      </w:r>
      <w:r>
        <w:rPr>
          <w:rFonts w:asciiTheme="minorHAnsi" w:hAnsiTheme="minorHAnsi" w:cstheme="minorHAnsi"/>
          <w:lang w:val="en-US"/>
        </w:rPr>
        <w:t xml:space="preserve"> and second, </w:t>
      </w:r>
      <w:r w:rsidRPr="00A2707E">
        <w:rPr>
          <w:rFonts w:asciiTheme="minorHAnsi" w:hAnsiTheme="minorHAnsi" w:cstheme="minorHAnsi"/>
          <w:lang w:val="en-US"/>
        </w:rPr>
        <w:t xml:space="preserve">we make use of a new </w:t>
      </w:r>
      <w:r w:rsidRPr="00A2707E">
        <w:rPr>
          <w:rFonts w:asciiTheme="minorHAnsi" w:hAnsiTheme="minorHAnsi" w:cstheme="minorHAnsi"/>
          <w:lang w:val="en-US"/>
        </w:rPr>
        <w:lastRenderedPageBreak/>
        <w:t xml:space="preserve">method </w:t>
      </w:r>
      <w:r w:rsidRPr="00AF04FD">
        <w:rPr>
          <w:rFonts w:asciiTheme="minorHAnsi" w:hAnsiTheme="minorHAnsi" w:cstheme="minorHAnsi"/>
          <w:lang w:val="en-US"/>
        </w:rPr>
        <w:t>APC-GO</w:t>
      </w:r>
      <w:r w:rsidRPr="00A2707E">
        <w:rPr>
          <w:rFonts w:asciiTheme="minorHAnsi" w:hAnsiTheme="minorHAnsi" w:cstheme="minorHAnsi"/>
          <w:lang w:val="en-US"/>
        </w:rPr>
        <w:t xml:space="preserve"> Age-Period-Cohort-Gap-Oaxaca (Stata</w:t>
      </w:r>
      <w:r w:rsidRPr="00A2707E">
        <w:rPr>
          <w:rFonts w:asciiTheme="minorHAnsi" w:hAnsiTheme="minorHAnsi" w:cstheme="minorHAnsi"/>
          <w:vertAlign w:val="superscript"/>
          <w:lang w:val="en-US"/>
        </w:rPr>
        <w:t>®</w:t>
      </w:r>
      <w:r w:rsidRPr="00A2707E">
        <w:rPr>
          <w:rFonts w:asciiTheme="minorHAnsi" w:hAnsiTheme="minorHAnsi" w:cstheme="minorHAnsi"/>
          <w:lang w:val="en-US"/>
        </w:rPr>
        <w:t xml:space="preserve">: </w:t>
      </w:r>
      <w:proofErr w:type="spellStart"/>
      <w:r w:rsidRPr="00A2707E">
        <w:rPr>
          <w:rFonts w:asciiTheme="minorHAnsi" w:hAnsiTheme="minorHAnsi" w:cstheme="minorHAnsi"/>
          <w:lang w:val="en-US"/>
        </w:rPr>
        <w:t>ssc</w:t>
      </w:r>
      <w:proofErr w:type="spellEnd"/>
      <w:r w:rsidRPr="00A2707E">
        <w:rPr>
          <w:rFonts w:asciiTheme="minorHAnsi" w:hAnsiTheme="minorHAnsi" w:cstheme="minorHAnsi"/>
          <w:lang w:val="en-US"/>
        </w:rPr>
        <w:t xml:space="preserve"> install </w:t>
      </w:r>
      <w:proofErr w:type="spellStart"/>
      <w:r w:rsidRPr="00A2707E">
        <w:rPr>
          <w:rFonts w:asciiTheme="minorHAnsi" w:hAnsiTheme="minorHAnsi" w:cstheme="minorHAnsi"/>
          <w:lang w:val="en-US"/>
        </w:rPr>
        <w:t>apcgo</w:t>
      </w:r>
      <w:proofErr w:type="spellEnd"/>
      <w:r w:rsidRPr="00A2707E">
        <w:rPr>
          <w:rFonts w:asciiTheme="minorHAnsi" w:hAnsiTheme="minorHAnsi" w:cstheme="minorHAnsi"/>
          <w:lang w:val="en-US"/>
        </w:rPr>
        <w:t>, Chauvel et al. 2017)</w:t>
      </w:r>
      <w:r>
        <w:rPr>
          <w:rFonts w:asciiTheme="minorHAnsi" w:hAnsiTheme="minorHAnsi" w:cstheme="minorHAnsi"/>
          <w:lang w:val="en-US"/>
        </w:rPr>
        <w:t xml:space="preserve"> t</w:t>
      </w:r>
      <w:r w:rsidRPr="00A2707E">
        <w:rPr>
          <w:rFonts w:asciiTheme="minorHAnsi" w:hAnsiTheme="minorHAnsi" w:cstheme="minorHAnsi"/>
          <w:lang w:val="en-US"/>
        </w:rPr>
        <w:t xml:space="preserve">o </w:t>
      </w:r>
      <w:proofErr w:type="spellStart"/>
      <w:r w:rsidRPr="00A2707E">
        <w:rPr>
          <w:rFonts w:asciiTheme="minorHAnsi" w:hAnsiTheme="minorHAnsi" w:cstheme="minorHAnsi"/>
          <w:lang w:val="en-US"/>
        </w:rPr>
        <w:t>analyse</w:t>
      </w:r>
      <w:proofErr w:type="spellEnd"/>
      <w:r w:rsidRPr="00A2707E">
        <w:rPr>
          <w:rFonts w:asciiTheme="minorHAnsi" w:hAnsiTheme="minorHAnsi" w:cstheme="minorHAnsi"/>
          <w:lang w:val="en-US"/>
        </w:rPr>
        <w:t xml:space="preserve"> the gap </w:t>
      </w:r>
      <w:r>
        <w:rPr>
          <w:rFonts w:asciiTheme="minorHAnsi" w:hAnsiTheme="minorHAnsi" w:cstheme="minorHAnsi"/>
          <w:lang w:val="en-US"/>
        </w:rPr>
        <w:t>between population groups</w:t>
      </w:r>
      <w:r w:rsidRPr="00A2707E">
        <w:rPr>
          <w:rFonts w:asciiTheme="minorHAnsi" w:hAnsiTheme="minorHAnsi" w:cstheme="minorHAnsi"/>
          <w:lang w:val="en-US"/>
        </w:rPr>
        <w:t xml:space="preserve">. This </w:t>
      </w:r>
      <w:r w:rsidR="002B5C6C">
        <w:rPr>
          <w:rFonts w:asciiTheme="minorHAnsi" w:hAnsiTheme="minorHAnsi" w:cstheme="minorHAnsi"/>
          <w:lang w:val="en-US"/>
        </w:rPr>
        <w:t xml:space="preserve">new </w:t>
      </w:r>
      <w:r w:rsidRPr="00A2707E">
        <w:rPr>
          <w:rFonts w:asciiTheme="minorHAnsi" w:hAnsiTheme="minorHAnsi" w:cstheme="minorHAnsi"/>
          <w:lang w:val="en-US"/>
        </w:rPr>
        <w:t xml:space="preserve">model </w:t>
      </w:r>
      <w:r>
        <w:rPr>
          <w:rFonts w:asciiTheme="minorHAnsi" w:hAnsiTheme="minorHAnsi" w:cstheme="minorHAnsi"/>
          <w:lang w:val="en-US"/>
        </w:rPr>
        <w:t xml:space="preserve">allows to </w:t>
      </w:r>
      <w:r w:rsidRPr="00A2707E">
        <w:rPr>
          <w:rFonts w:asciiTheme="minorHAnsi" w:hAnsiTheme="minorHAnsi" w:cstheme="minorHAnsi"/>
          <w:lang w:val="en-US"/>
        </w:rPr>
        <w:t>estimate the net birth-cohort indexed gap in a response variable by controlling age and period characteristics along w</w:t>
      </w:r>
      <w:r>
        <w:rPr>
          <w:rFonts w:asciiTheme="minorHAnsi" w:hAnsiTheme="minorHAnsi" w:cstheme="minorHAnsi"/>
          <w:lang w:val="en-US"/>
        </w:rPr>
        <w:t>ith relevant control variables</w:t>
      </w:r>
      <w:r w:rsidR="002B5C6C">
        <w:rPr>
          <w:rFonts w:asciiTheme="minorHAnsi" w:hAnsiTheme="minorHAnsi" w:cstheme="minorHAnsi"/>
          <w:lang w:val="en-US"/>
        </w:rPr>
        <w:t xml:space="preserve"> (</w:t>
      </w:r>
      <w:r w:rsidR="005F2DB5">
        <w:rPr>
          <w:rFonts w:asciiTheme="minorHAnsi" w:hAnsiTheme="minorHAnsi" w:cstheme="minorHAnsi"/>
          <w:lang w:val="en-US"/>
        </w:rPr>
        <w:t xml:space="preserve">e.g. </w:t>
      </w:r>
      <w:r w:rsidR="005F2DB5" w:rsidRPr="00FA5342">
        <w:rPr>
          <w:rFonts w:asciiTheme="minorHAnsi" w:hAnsiTheme="minorHAnsi" w:cstheme="minorHAnsi"/>
          <w:lang w:val="en-US"/>
        </w:rPr>
        <w:t xml:space="preserve">Bar-Haim, Chauvel and </w:t>
      </w:r>
      <w:proofErr w:type="spellStart"/>
      <w:r w:rsidR="002B5C6C" w:rsidRPr="00FA5342">
        <w:rPr>
          <w:rFonts w:asciiTheme="minorHAnsi" w:hAnsiTheme="minorHAnsi" w:cstheme="minorHAnsi"/>
          <w:lang w:val="en-US"/>
        </w:rPr>
        <w:t>Hartung</w:t>
      </w:r>
      <w:proofErr w:type="spellEnd"/>
      <w:r w:rsidR="002B5C6C" w:rsidRPr="00FA5342">
        <w:rPr>
          <w:rFonts w:asciiTheme="minorHAnsi" w:hAnsiTheme="minorHAnsi" w:cstheme="minorHAnsi"/>
          <w:lang w:val="en-US"/>
        </w:rPr>
        <w:t xml:space="preserve"> </w:t>
      </w:r>
      <w:r w:rsidR="00FA5342" w:rsidRPr="00FA5342">
        <w:rPr>
          <w:rFonts w:asciiTheme="minorHAnsi" w:hAnsiTheme="minorHAnsi" w:cstheme="minorHAnsi"/>
          <w:lang w:val="en-US"/>
        </w:rPr>
        <w:t>2017</w:t>
      </w:r>
      <w:r w:rsidR="002B5C6C">
        <w:rPr>
          <w:rFonts w:asciiTheme="minorHAnsi" w:hAnsiTheme="minorHAnsi" w:cstheme="minorHAnsi"/>
          <w:lang w:val="en-US"/>
        </w:rPr>
        <w:t>)</w:t>
      </w:r>
      <w:r w:rsidRPr="00A2707E">
        <w:rPr>
          <w:rFonts w:asciiTheme="minorHAnsi" w:hAnsiTheme="minorHAnsi" w:cstheme="minorHAnsi"/>
          <w:lang w:val="en-US"/>
        </w:rPr>
        <w:t>.</w:t>
      </w:r>
    </w:p>
    <w:p w14:paraId="5E62B826" w14:textId="6FAEC4DD" w:rsidR="001C046C" w:rsidRDefault="001C046C" w:rsidP="00E233B9">
      <w:pPr>
        <w:pStyle w:val="Heading1"/>
        <w:spacing w:line="480" w:lineRule="auto"/>
        <w:rPr>
          <w:lang w:val="en-US"/>
        </w:rPr>
      </w:pPr>
      <w:r>
        <w:rPr>
          <w:lang w:val="en-US"/>
        </w:rPr>
        <w:t>Background</w:t>
      </w:r>
    </w:p>
    <w:p w14:paraId="733D4774" w14:textId="7C893E87" w:rsidR="004843B2" w:rsidRPr="00A2707E" w:rsidRDefault="001516D8" w:rsidP="004843B2">
      <w:pPr>
        <w:spacing w:line="480" w:lineRule="auto"/>
        <w:jc w:val="both"/>
        <w:rPr>
          <w:rFonts w:asciiTheme="minorHAnsi" w:hAnsiTheme="minorHAnsi" w:cstheme="minorHAnsi"/>
          <w:lang w:val="en-US"/>
        </w:rPr>
      </w:pPr>
      <w:r>
        <w:rPr>
          <w:rFonts w:asciiTheme="minorHAnsi" w:hAnsiTheme="minorHAnsi" w:cstheme="minorHAnsi"/>
          <w:lang w:val="en-US"/>
        </w:rPr>
        <w:t>F</w:t>
      </w:r>
      <w:r w:rsidRPr="001516D8">
        <w:rPr>
          <w:rFonts w:asciiTheme="minorHAnsi" w:hAnsiTheme="minorHAnsi" w:cstheme="minorHAnsi"/>
          <w:lang w:val="en-US"/>
        </w:rPr>
        <w:t xml:space="preserve">ertility has fallen in many countries to below-replacement levels. Scholars </w:t>
      </w:r>
      <w:r w:rsidR="006844F8">
        <w:rPr>
          <w:rFonts w:asciiTheme="minorHAnsi" w:hAnsiTheme="minorHAnsi" w:cstheme="minorHAnsi"/>
          <w:lang w:val="en-US"/>
        </w:rPr>
        <w:t xml:space="preserve">have </w:t>
      </w:r>
      <w:r w:rsidR="006844F8" w:rsidRPr="001516D8">
        <w:rPr>
          <w:rFonts w:asciiTheme="minorHAnsi" w:hAnsiTheme="minorHAnsi" w:cstheme="minorHAnsi"/>
          <w:lang w:val="en-US"/>
        </w:rPr>
        <w:t xml:space="preserve">discussed </w:t>
      </w:r>
      <w:r w:rsidR="006844F8">
        <w:rPr>
          <w:rFonts w:asciiTheme="minorHAnsi" w:hAnsiTheme="minorHAnsi" w:cstheme="minorHAnsi"/>
          <w:lang w:val="en-US"/>
        </w:rPr>
        <w:t>this trend in the context of</w:t>
      </w:r>
      <w:r w:rsidR="006844F8" w:rsidRPr="001516D8">
        <w:rPr>
          <w:rFonts w:asciiTheme="minorHAnsi" w:hAnsiTheme="minorHAnsi" w:cstheme="minorHAnsi"/>
          <w:lang w:val="en-US"/>
        </w:rPr>
        <w:t xml:space="preserve"> the Second Demographic Transition</w:t>
      </w:r>
      <w:r w:rsidR="006844F8">
        <w:rPr>
          <w:rFonts w:asciiTheme="minorHAnsi" w:hAnsiTheme="minorHAnsi" w:cstheme="minorHAnsi"/>
          <w:lang w:val="en-US"/>
        </w:rPr>
        <w:t>. Several explanations are put forward</w:t>
      </w:r>
      <w:r w:rsidR="006844F8" w:rsidRPr="006844F8">
        <w:rPr>
          <w:rFonts w:asciiTheme="minorHAnsi" w:hAnsiTheme="minorHAnsi" w:cstheme="minorHAnsi"/>
          <w:lang w:val="en-US"/>
        </w:rPr>
        <w:t xml:space="preserve"> </w:t>
      </w:r>
      <w:r w:rsidR="006844F8">
        <w:rPr>
          <w:rFonts w:asciiTheme="minorHAnsi" w:hAnsiTheme="minorHAnsi" w:cstheme="minorHAnsi"/>
          <w:lang w:val="en-US"/>
        </w:rPr>
        <w:t>for the</w:t>
      </w:r>
      <w:r w:rsidR="006844F8" w:rsidRPr="001516D8">
        <w:rPr>
          <w:rFonts w:asciiTheme="minorHAnsi" w:hAnsiTheme="minorHAnsi" w:cstheme="minorHAnsi"/>
          <w:lang w:val="en-US"/>
        </w:rPr>
        <w:t xml:space="preserve"> decline and delay</w:t>
      </w:r>
      <w:r w:rsidR="006844F8">
        <w:rPr>
          <w:rFonts w:asciiTheme="minorHAnsi" w:hAnsiTheme="minorHAnsi" w:cstheme="minorHAnsi"/>
          <w:lang w:val="en-US"/>
        </w:rPr>
        <w:t xml:space="preserve"> in fertility and the diverging patterns across countrie</w:t>
      </w:r>
      <w:r w:rsidR="006844F8" w:rsidRPr="001516D8">
        <w:rPr>
          <w:rFonts w:asciiTheme="minorHAnsi" w:hAnsiTheme="minorHAnsi" w:cstheme="minorHAnsi"/>
          <w:lang w:val="en-US"/>
        </w:rPr>
        <w:t>s</w:t>
      </w:r>
      <w:r w:rsidR="006844F8">
        <w:rPr>
          <w:rFonts w:asciiTheme="minorHAnsi" w:hAnsiTheme="minorHAnsi" w:cstheme="minorHAnsi"/>
          <w:lang w:val="en-US"/>
        </w:rPr>
        <w:t xml:space="preserve">. </w:t>
      </w:r>
      <w:r w:rsidR="00B902A0">
        <w:rPr>
          <w:rFonts w:asciiTheme="minorHAnsi" w:hAnsiTheme="minorHAnsi" w:cstheme="minorHAnsi"/>
          <w:lang w:val="en-US"/>
        </w:rPr>
        <w:t>We study ESF in the US and eight additional countries.</w:t>
      </w:r>
      <w:r w:rsidR="000C2FD3">
        <w:rPr>
          <w:rFonts w:asciiTheme="minorHAnsi" w:hAnsiTheme="minorHAnsi" w:cstheme="minorHAnsi"/>
          <w:lang w:val="en-US"/>
        </w:rPr>
        <w:t xml:space="preserve"> </w:t>
      </w:r>
      <w:r w:rsidR="000C2FD3" w:rsidRPr="000C2FD3">
        <w:rPr>
          <w:rFonts w:asciiTheme="minorHAnsi" w:hAnsiTheme="minorHAnsi" w:cstheme="minorHAnsi"/>
          <w:lang w:val="en-US"/>
        </w:rPr>
        <w:t>Fertility levels in the United States started to raise substantially with the entrance of the Baby Boom years (from 1946 to 1964) reaching over 4 millions births per year between the years 1955 to 1964 (Taylor et al., 2010). After the Baby Boom years followed the so called Baby Bust years: the US fertility decline sharply in the mid-1960’s with its lowest dip in 1973 (3.14 million births/per year). Since 1980, fertility rates have been relatively stable, varying between 64 and 71 births per 1,000 women, with small peaks in 1990 and 2007 (Hamilton et al., 2009).</w:t>
      </w:r>
      <w:r w:rsidR="000C2FD3">
        <w:rPr>
          <w:rFonts w:asciiTheme="minorHAnsi" w:hAnsiTheme="minorHAnsi" w:cstheme="minorHAnsi"/>
          <w:lang w:val="en-US"/>
        </w:rPr>
        <w:t xml:space="preserve"> </w:t>
      </w:r>
      <w:r w:rsidR="004843B2" w:rsidRPr="000C2FD3">
        <w:rPr>
          <w:rFonts w:asciiTheme="minorHAnsi" w:hAnsiTheme="minorHAnsi" w:cstheme="minorHAnsi"/>
          <w:lang w:val="en-US"/>
        </w:rPr>
        <w:t xml:space="preserve">The decline in U.S. fertility has been driven primarily by a trend among young adults to postpone having children. By 2009—for the first time in U.S. history—birth rates among women ages 30 to 34 (97.5 births per 1,000 women) exceeded those for women ages 20 to 24 (96 births per 1,000 women). In </w:t>
      </w:r>
      <w:r w:rsidR="004843B2">
        <w:rPr>
          <w:rFonts w:asciiTheme="minorHAnsi" w:hAnsiTheme="minorHAnsi" w:cstheme="minorHAnsi"/>
          <w:lang w:val="en-US"/>
        </w:rPr>
        <w:t>addition</w:t>
      </w:r>
      <w:r w:rsidR="004843B2" w:rsidRPr="000C2FD3">
        <w:rPr>
          <w:rFonts w:asciiTheme="minorHAnsi" w:hAnsiTheme="minorHAnsi" w:cstheme="minorHAnsi"/>
          <w:lang w:val="en-US"/>
        </w:rPr>
        <w:t xml:space="preserve">, the birth rate among teens </w:t>
      </w:r>
      <w:proofErr w:type="gramStart"/>
      <w:r w:rsidR="004843B2" w:rsidRPr="000C2FD3">
        <w:rPr>
          <w:rFonts w:asciiTheme="minorHAnsi" w:hAnsiTheme="minorHAnsi" w:cstheme="minorHAnsi"/>
          <w:lang w:val="en-US"/>
        </w:rPr>
        <w:t xml:space="preserve">dropped </w:t>
      </w:r>
      <w:r w:rsidR="004843B2">
        <w:rPr>
          <w:rFonts w:asciiTheme="minorHAnsi" w:hAnsiTheme="minorHAnsi" w:cstheme="minorHAnsi"/>
          <w:lang w:val="en-US"/>
        </w:rPr>
        <w:t xml:space="preserve"> -</w:t>
      </w:r>
      <w:proofErr w:type="gramEnd"/>
      <w:r w:rsidR="004843B2">
        <w:rPr>
          <w:rFonts w:asciiTheme="minorHAnsi" w:hAnsiTheme="minorHAnsi" w:cstheme="minorHAnsi"/>
          <w:lang w:val="en-US"/>
        </w:rPr>
        <w:t xml:space="preserve"> reaching in 2010 </w:t>
      </w:r>
      <w:r w:rsidR="004843B2" w:rsidRPr="000C2FD3">
        <w:rPr>
          <w:rFonts w:asciiTheme="minorHAnsi" w:hAnsiTheme="minorHAnsi" w:cstheme="minorHAnsi"/>
          <w:lang w:val="en-US"/>
        </w:rPr>
        <w:t>the lowest level ever recorded in the United States (Mather, M. 2012).</w:t>
      </w:r>
    </w:p>
    <w:p w14:paraId="0F0D6F13" w14:textId="0E3983C0" w:rsidR="004843B2" w:rsidRDefault="004843B2" w:rsidP="00E233B9">
      <w:pPr>
        <w:spacing w:line="480" w:lineRule="auto"/>
        <w:jc w:val="both"/>
        <w:rPr>
          <w:rFonts w:asciiTheme="minorHAnsi" w:hAnsiTheme="minorHAnsi" w:cstheme="minorHAnsi"/>
          <w:lang w:val="en-US"/>
        </w:rPr>
      </w:pPr>
      <w:r>
        <w:rPr>
          <w:rFonts w:asciiTheme="minorHAnsi" w:hAnsiTheme="minorHAnsi" w:cstheme="minorHAnsi"/>
          <w:lang w:val="en-US"/>
        </w:rPr>
        <w:t>In other words</w:t>
      </w:r>
      <w:r w:rsidR="00FB4A6B">
        <w:rPr>
          <w:rFonts w:asciiTheme="minorHAnsi" w:hAnsiTheme="minorHAnsi" w:cstheme="minorHAnsi"/>
          <w:lang w:val="en-US"/>
        </w:rPr>
        <w:t>,</w:t>
      </w:r>
      <w:r w:rsidR="0014654E">
        <w:rPr>
          <w:rFonts w:asciiTheme="minorHAnsi" w:hAnsiTheme="minorHAnsi" w:cstheme="minorHAnsi"/>
          <w:lang w:val="en-US"/>
        </w:rPr>
        <w:t xml:space="preserve"> not only the timing bu</w:t>
      </w:r>
      <w:r w:rsidR="00E70784">
        <w:rPr>
          <w:rFonts w:asciiTheme="minorHAnsi" w:hAnsiTheme="minorHAnsi" w:cstheme="minorHAnsi"/>
          <w:lang w:val="en-US"/>
        </w:rPr>
        <w:t>t</w:t>
      </w:r>
      <w:r w:rsidR="0014654E">
        <w:rPr>
          <w:rFonts w:asciiTheme="minorHAnsi" w:hAnsiTheme="minorHAnsi" w:cstheme="minorHAnsi"/>
          <w:lang w:val="en-US"/>
        </w:rPr>
        <w:t xml:space="preserve"> also</w:t>
      </w:r>
      <w:r w:rsidR="00FB4A6B">
        <w:rPr>
          <w:rFonts w:asciiTheme="minorHAnsi" w:hAnsiTheme="minorHAnsi" w:cstheme="minorHAnsi"/>
          <w:lang w:val="en-US"/>
        </w:rPr>
        <w:t xml:space="preserve"> the underlying patterns of </w:t>
      </w:r>
      <w:r w:rsidR="000C2FD3" w:rsidRPr="000C2FD3">
        <w:rPr>
          <w:rFonts w:asciiTheme="minorHAnsi" w:hAnsiTheme="minorHAnsi" w:cstheme="minorHAnsi"/>
          <w:lang w:val="en-US"/>
        </w:rPr>
        <w:t>childbearing have changed substantially with increased non-marital births, teenage births and delayed childbearing and variations b</w:t>
      </w:r>
      <w:r w:rsidR="00FB4A6B">
        <w:rPr>
          <w:rFonts w:asciiTheme="minorHAnsi" w:hAnsiTheme="minorHAnsi" w:cstheme="minorHAnsi"/>
          <w:lang w:val="en-US"/>
        </w:rPr>
        <w:t xml:space="preserve">y race, education and religion </w:t>
      </w:r>
      <w:r w:rsidR="000C2FD3" w:rsidRPr="000C2FD3">
        <w:rPr>
          <w:rFonts w:asciiTheme="minorHAnsi" w:hAnsiTheme="minorHAnsi" w:cstheme="minorHAnsi"/>
          <w:lang w:val="en-US"/>
        </w:rPr>
        <w:t>(</w:t>
      </w:r>
      <w:proofErr w:type="spellStart"/>
      <w:r w:rsidR="000C2FD3" w:rsidRPr="000C2FD3">
        <w:rPr>
          <w:rFonts w:asciiTheme="minorHAnsi" w:hAnsiTheme="minorHAnsi" w:cstheme="minorHAnsi"/>
          <w:lang w:val="en-US"/>
        </w:rPr>
        <w:t>Stockard</w:t>
      </w:r>
      <w:proofErr w:type="spellEnd"/>
      <w:r w:rsidR="000C2FD3" w:rsidRPr="000C2FD3">
        <w:rPr>
          <w:rFonts w:asciiTheme="minorHAnsi" w:hAnsiTheme="minorHAnsi" w:cstheme="minorHAnsi"/>
          <w:lang w:val="en-US"/>
        </w:rPr>
        <w:t>, Gray, &amp; Bri</w:t>
      </w:r>
      <w:r w:rsidR="00FB4A6B">
        <w:rPr>
          <w:rFonts w:asciiTheme="minorHAnsi" w:hAnsiTheme="minorHAnsi" w:cstheme="minorHAnsi"/>
          <w:lang w:val="en-US"/>
        </w:rPr>
        <w:t xml:space="preserve">en, 2009; Taylor et al., 2010; </w:t>
      </w:r>
      <w:r w:rsidR="000C2FD3" w:rsidRPr="000C2FD3">
        <w:rPr>
          <w:rFonts w:asciiTheme="minorHAnsi" w:hAnsiTheme="minorHAnsi" w:cstheme="minorHAnsi"/>
          <w:lang w:val="en-US"/>
        </w:rPr>
        <w:t>Marti</w:t>
      </w:r>
      <w:r w:rsidR="00FB4A6B">
        <w:rPr>
          <w:rFonts w:asciiTheme="minorHAnsi" w:hAnsiTheme="minorHAnsi" w:cstheme="minorHAnsi"/>
          <w:lang w:val="en-US"/>
        </w:rPr>
        <w:t>nez, Daniels, &amp; Chandra, 2012). Part of these trends are related to changes in family formation behavior over the last decades, which also differ across educational levels.</w:t>
      </w:r>
      <w:r w:rsidR="000C2FD3" w:rsidRPr="000C2FD3">
        <w:rPr>
          <w:rFonts w:asciiTheme="minorHAnsi" w:hAnsiTheme="minorHAnsi" w:cstheme="minorHAnsi"/>
          <w:lang w:val="en-US"/>
        </w:rPr>
        <w:t xml:space="preserve"> </w:t>
      </w:r>
      <w:r w:rsidR="00FB4A6B">
        <w:rPr>
          <w:rFonts w:asciiTheme="minorHAnsi" w:hAnsiTheme="minorHAnsi" w:cstheme="minorHAnsi"/>
          <w:lang w:val="en-US"/>
        </w:rPr>
        <w:t>H</w:t>
      </w:r>
      <w:r w:rsidR="000C2FD3" w:rsidRPr="000C2FD3">
        <w:rPr>
          <w:rFonts w:asciiTheme="minorHAnsi" w:hAnsiTheme="minorHAnsi" w:cstheme="minorHAnsi"/>
          <w:lang w:val="en-US"/>
        </w:rPr>
        <w:t>ighly educated persons</w:t>
      </w:r>
      <w:r w:rsidR="00FB4A6B">
        <w:rPr>
          <w:rFonts w:asciiTheme="minorHAnsi" w:hAnsiTheme="minorHAnsi" w:cstheme="minorHAnsi"/>
          <w:lang w:val="en-US"/>
        </w:rPr>
        <w:t>,</w:t>
      </w:r>
      <w:r w:rsidR="000C2FD3" w:rsidRPr="000C2FD3">
        <w:rPr>
          <w:rFonts w:asciiTheme="minorHAnsi" w:hAnsiTheme="minorHAnsi" w:cstheme="minorHAnsi"/>
          <w:lang w:val="en-US"/>
        </w:rPr>
        <w:t xml:space="preserve"> </w:t>
      </w:r>
      <w:r w:rsidR="00FB4A6B">
        <w:rPr>
          <w:rFonts w:asciiTheme="minorHAnsi" w:hAnsiTheme="minorHAnsi" w:cstheme="minorHAnsi"/>
          <w:lang w:val="en-US"/>
        </w:rPr>
        <w:t>for instance,</w:t>
      </w:r>
      <w:r w:rsidR="000C2FD3" w:rsidRPr="000C2FD3">
        <w:rPr>
          <w:rFonts w:asciiTheme="minorHAnsi" w:hAnsiTheme="minorHAnsi" w:cstheme="minorHAnsi"/>
          <w:lang w:val="en-US"/>
        </w:rPr>
        <w:t xml:space="preserve"> are more likel</w:t>
      </w:r>
      <w:r w:rsidR="000C2FD3">
        <w:rPr>
          <w:rFonts w:asciiTheme="minorHAnsi" w:hAnsiTheme="minorHAnsi" w:cstheme="minorHAnsi"/>
          <w:lang w:val="en-US"/>
        </w:rPr>
        <w:t xml:space="preserve">y </w:t>
      </w:r>
      <w:r w:rsidR="000C2FD3">
        <w:rPr>
          <w:rFonts w:asciiTheme="minorHAnsi" w:hAnsiTheme="minorHAnsi" w:cstheme="minorHAnsi"/>
          <w:lang w:val="en-US"/>
        </w:rPr>
        <w:lastRenderedPageBreak/>
        <w:t>to marry and to stay married</w:t>
      </w:r>
      <w:r w:rsidR="000C2FD3" w:rsidRPr="000C2FD3">
        <w:rPr>
          <w:rFonts w:asciiTheme="minorHAnsi" w:hAnsiTheme="minorHAnsi" w:cstheme="minorHAnsi"/>
          <w:lang w:val="en-US"/>
        </w:rPr>
        <w:t xml:space="preserve"> (Johnson-Hanks, </w:t>
      </w:r>
      <w:proofErr w:type="spellStart"/>
      <w:r w:rsidR="000C2FD3" w:rsidRPr="000C2FD3">
        <w:rPr>
          <w:rFonts w:asciiTheme="minorHAnsi" w:hAnsiTheme="minorHAnsi" w:cstheme="minorHAnsi"/>
          <w:lang w:val="en-US"/>
        </w:rPr>
        <w:t>Bachrach</w:t>
      </w:r>
      <w:proofErr w:type="spellEnd"/>
      <w:r w:rsidR="000C2FD3" w:rsidRPr="000C2FD3">
        <w:rPr>
          <w:rFonts w:asciiTheme="minorHAnsi" w:hAnsiTheme="minorHAnsi" w:cstheme="minorHAnsi"/>
          <w:lang w:val="en-US"/>
        </w:rPr>
        <w:t>, Morgan, &amp; Kohler, 2011).</w:t>
      </w:r>
      <w:r w:rsidR="00FB4A6B">
        <w:rPr>
          <w:rFonts w:asciiTheme="minorHAnsi" w:hAnsiTheme="minorHAnsi" w:cstheme="minorHAnsi"/>
          <w:lang w:val="en-US"/>
        </w:rPr>
        <w:t xml:space="preserve"> Yet, it is the lower educated groups that show typically the </w:t>
      </w:r>
      <w:r w:rsidR="00FA5342">
        <w:rPr>
          <w:rFonts w:asciiTheme="minorHAnsi" w:hAnsiTheme="minorHAnsi" w:cstheme="minorHAnsi"/>
          <w:lang w:val="en-US"/>
        </w:rPr>
        <w:t xml:space="preserve">highest </w:t>
      </w:r>
      <w:r w:rsidR="00FB4A6B">
        <w:rPr>
          <w:rFonts w:asciiTheme="minorHAnsi" w:hAnsiTheme="minorHAnsi" w:cstheme="minorHAnsi"/>
          <w:lang w:val="en-US"/>
        </w:rPr>
        <w:t>fertility. In the</w:t>
      </w:r>
      <w:r w:rsidR="00FB4A6B" w:rsidRPr="000C2FD3">
        <w:rPr>
          <w:rFonts w:asciiTheme="minorHAnsi" w:hAnsiTheme="minorHAnsi" w:cstheme="minorHAnsi"/>
          <w:lang w:val="en-US"/>
        </w:rPr>
        <w:t xml:space="preserve"> mid-2000</w:t>
      </w:r>
      <w:r>
        <w:rPr>
          <w:rFonts w:asciiTheme="minorHAnsi" w:hAnsiTheme="minorHAnsi" w:cstheme="minorHAnsi"/>
          <w:lang w:val="en-US"/>
        </w:rPr>
        <w:t>s,</w:t>
      </w:r>
      <w:r w:rsidR="00FB4A6B" w:rsidRPr="000C2FD3">
        <w:rPr>
          <w:rFonts w:asciiTheme="minorHAnsi" w:hAnsiTheme="minorHAnsi" w:cstheme="minorHAnsi"/>
          <w:lang w:val="en-US"/>
        </w:rPr>
        <w:t xml:space="preserve"> nearly one in four women with less than a high school diploma had four or more children (24%), more than twice the percentage for any other education group (Martinez et al., 2012, p. 5). Some of the explanations mention that women with less education are less likely than others to use contraception, leave school early when they become pregnant.</w:t>
      </w:r>
      <w:r w:rsidR="00FB4A6B">
        <w:rPr>
          <w:rFonts w:asciiTheme="minorHAnsi" w:hAnsiTheme="minorHAnsi" w:cstheme="minorHAnsi"/>
          <w:lang w:val="en-US"/>
        </w:rPr>
        <w:t xml:space="preserve"> Nonetheless, the largest decline in fertility</w:t>
      </w:r>
      <w:r w:rsidR="000C2FD3" w:rsidRPr="000C2FD3">
        <w:rPr>
          <w:rFonts w:asciiTheme="minorHAnsi" w:hAnsiTheme="minorHAnsi" w:cstheme="minorHAnsi"/>
          <w:lang w:val="en-US"/>
        </w:rPr>
        <w:t xml:space="preserve"> occurred in the 1960’s and 1970’s </w:t>
      </w:r>
      <w:r w:rsidR="00FB4A6B">
        <w:rPr>
          <w:rFonts w:asciiTheme="minorHAnsi" w:hAnsiTheme="minorHAnsi" w:cstheme="minorHAnsi"/>
          <w:lang w:val="en-US"/>
        </w:rPr>
        <w:t>among</w:t>
      </w:r>
      <w:r w:rsidR="000C2FD3" w:rsidRPr="000C2FD3">
        <w:rPr>
          <w:rFonts w:asciiTheme="minorHAnsi" w:hAnsiTheme="minorHAnsi" w:cstheme="minorHAnsi"/>
          <w:lang w:val="en-US"/>
        </w:rPr>
        <w:t xml:space="preserve"> the better educated groups</w:t>
      </w:r>
      <w:r w:rsidR="00FB4A6B">
        <w:rPr>
          <w:rFonts w:asciiTheme="minorHAnsi" w:hAnsiTheme="minorHAnsi" w:cstheme="minorHAnsi"/>
          <w:lang w:val="en-US"/>
        </w:rPr>
        <w:t xml:space="preserve"> </w:t>
      </w:r>
      <w:r w:rsidR="00FB4A6B" w:rsidRPr="000C2FD3">
        <w:rPr>
          <w:rFonts w:asciiTheme="minorHAnsi" w:hAnsiTheme="minorHAnsi" w:cstheme="minorHAnsi"/>
          <w:lang w:val="en-US"/>
        </w:rPr>
        <w:t>(</w:t>
      </w:r>
      <w:proofErr w:type="spellStart"/>
      <w:r w:rsidR="00FB4A6B" w:rsidRPr="000C2FD3">
        <w:rPr>
          <w:rFonts w:asciiTheme="minorHAnsi" w:hAnsiTheme="minorHAnsi" w:cstheme="minorHAnsi"/>
          <w:lang w:val="en-US"/>
        </w:rPr>
        <w:t>Rindfuss</w:t>
      </w:r>
      <w:proofErr w:type="spellEnd"/>
      <w:r w:rsidR="00FB4A6B" w:rsidRPr="000C2FD3">
        <w:rPr>
          <w:rFonts w:asciiTheme="minorHAnsi" w:hAnsiTheme="minorHAnsi" w:cstheme="minorHAnsi"/>
          <w:lang w:val="en-US"/>
        </w:rPr>
        <w:t>, Morgan, &amp; Offutt 1996)</w:t>
      </w:r>
      <w:r w:rsidR="00FB4A6B">
        <w:rPr>
          <w:rFonts w:asciiTheme="minorHAnsi" w:hAnsiTheme="minorHAnsi" w:cstheme="minorHAnsi"/>
          <w:lang w:val="en-US"/>
        </w:rPr>
        <w:t>:</w:t>
      </w:r>
      <w:r w:rsidR="000C2FD3" w:rsidRPr="000C2FD3">
        <w:rPr>
          <w:rFonts w:asciiTheme="minorHAnsi" w:hAnsiTheme="minorHAnsi" w:cstheme="minorHAnsi"/>
          <w:lang w:val="en-US"/>
        </w:rPr>
        <w:t xml:space="preserve"> the fertility of </w:t>
      </w:r>
      <w:r w:rsidR="00FB4A6B">
        <w:rPr>
          <w:rFonts w:asciiTheme="minorHAnsi" w:hAnsiTheme="minorHAnsi" w:cstheme="minorHAnsi"/>
          <w:lang w:val="en-US"/>
        </w:rPr>
        <w:t>women</w:t>
      </w:r>
      <w:r w:rsidR="000C2FD3" w:rsidRPr="000C2FD3">
        <w:rPr>
          <w:rFonts w:asciiTheme="minorHAnsi" w:hAnsiTheme="minorHAnsi" w:cstheme="minorHAnsi"/>
          <w:lang w:val="en-US"/>
        </w:rPr>
        <w:t xml:space="preserve"> with some college </w:t>
      </w:r>
      <w:r w:rsidR="00FB4A6B">
        <w:rPr>
          <w:rFonts w:asciiTheme="minorHAnsi" w:hAnsiTheme="minorHAnsi" w:cstheme="minorHAnsi"/>
          <w:lang w:val="en-US"/>
        </w:rPr>
        <w:t xml:space="preserve">attendance </w:t>
      </w:r>
      <w:r w:rsidR="000C2FD3" w:rsidRPr="000C2FD3">
        <w:rPr>
          <w:rFonts w:asciiTheme="minorHAnsi" w:hAnsiTheme="minorHAnsi" w:cstheme="minorHAnsi"/>
          <w:lang w:val="en-US"/>
        </w:rPr>
        <w:t>declined most sharply whereas those with less than high school showed the least decline (</w:t>
      </w:r>
      <w:proofErr w:type="spellStart"/>
      <w:r w:rsidR="000C2FD3" w:rsidRPr="000C2FD3">
        <w:rPr>
          <w:rFonts w:asciiTheme="minorHAnsi" w:hAnsiTheme="minorHAnsi" w:cstheme="minorHAnsi"/>
          <w:lang w:val="en-US"/>
        </w:rPr>
        <w:t>Rindfuss</w:t>
      </w:r>
      <w:proofErr w:type="spellEnd"/>
      <w:r w:rsidR="000C2FD3" w:rsidRPr="000C2FD3">
        <w:rPr>
          <w:rFonts w:asciiTheme="minorHAnsi" w:hAnsiTheme="minorHAnsi" w:cstheme="minorHAnsi"/>
          <w:lang w:val="en-US"/>
        </w:rPr>
        <w:t xml:space="preserve"> et al; 1996:282). </w:t>
      </w:r>
    </w:p>
    <w:p w14:paraId="4110A408" w14:textId="4F800536" w:rsidR="001E43F2" w:rsidRDefault="001E43F2" w:rsidP="00E233B9">
      <w:pPr>
        <w:spacing w:line="480" w:lineRule="auto"/>
        <w:jc w:val="both"/>
        <w:rPr>
          <w:rFonts w:asciiTheme="minorHAnsi" w:hAnsiTheme="minorHAnsi" w:cstheme="minorHAnsi"/>
          <w:lang w:val="en-US"/>
        </w:rPr>
      </w:pPr>
      <w:r>
        <w:rPr>
          <w:rFonts w:asciiTheme="minorHAnsi" w:hAnsiTheme="minorHAnsi" w:cstheme="minorHAnsi"/>
          <w:lang w:val="en-US"/>
        </w:rPr>
        <w:t xml:space="preserve">However, </w:t>
      </w:r>
      <w:proofErr w:type="spellStart"/>
      <w:r>
        <w:rPr>
          <w:rFonts w:asciiTheme="minorHAnsi" w:hAnsiTheme="minorHAnsi" w:cstheme="minorHAnsi"/>
          <w:lang w:val="en-US"/>
        </w:rPr>
        <w:t>Zoabi</w:t>
      </w:r>
      <w:proofErr w:type="spellEnd"/>
      <w:r>
        <w:rPr>
          <w:rFonts w:asciiTheme="minorHAnsi" w:hAnsiTheme="minorHAnsi" w:cstheme="minorHAnsi"/>
          <w:lang w:val="en-US"/>
        </w:rPr>
        <w:t xml:space="preserve"> and </w:t>
      </w:r>
      <w:proofErr w:type="spellStart"/>
      <w:r>
        <w:rPr>
          <w:rFonts w:asciiTheme="minorHAnsi" w:hAnsiTheme="minorHAnsi" w:cstheme="minorHAnsi"/>
          <w:lang w:val="en-US"/>
        </w:rPr>
        <w:t>Hazan</w:t>
      </w:r>
      <w:proofErr w:type="spellEnd"/>
      <w:r>
        <w:rPr>
          <w:rFonts w:asciiTheme="minorHAnsi" w:hAnsiTheme="minorHAnsi" w:cstheme="minorHAnsi"/>
          <w:lang w:val="en-US"/>
        </w:rPr>
        <w:t xml:space="preserve"> (2015) find that the </w:t>
      </w:r>
      <w:r w:rsidRPr="001E43F2">
        <w:rPr>
          <w:rFonts w:asciiTheme="minorHAnsi" w:hAnsiTheme="minorHAnsi" w:cstheme="minorHAnsi"/>
          <w:lang w:val="en-US"/>
        </w:rPr>
        <w:t xml:space="preserve">relation between fertility and education levels </w:t>
      </w:r>
      <w:r>
        <w:rPr>
          <w:rFonts w:asciiTheme="minorHAnsi" w:hAnsiTheme="minorHAnsi" w:cstheme="minorHAnsi"/>
          <w:lang w:val="en-US"/>
        </w:rPr>
        <w:t xml:space="preserve">has </w:t>
      </w:r>
      <w:r w:rsidRPr="001E43F2">
        <w:rPr>
          <w:rFonts w:asciiTheme="minorHAnsi" w:hAnsiTheme="minorHAnsi" w:cstheme="minorHAnsi"/>
          <w:lang w:val="en-US"/>
        </w:rPr>
        <w:t>a U-shape</w:t>
      </w:r>
      <w:r>
        <w:rPr>
          <w:rFonts w:asciiTheme="minorHAnsi" w:hAnsiTheme="minorHAnsi" w:cstheme="minorHAnsi"/>
          <w:lang w:val="en-US"/>
        </w:rPr>
        <w:t xml:space="preserve">: while the </w:t>
      </w:r>
      <w:r w:rsidRPr="001E43F2">
        <w:rPr>
          <w:rFonts w:asciiTheme="minorHAnsi" w:hAnsiTheme="minorHAnsi" w:cstheme="minorHAnsi"/>
          <w:lang w:val="en-US"/>
        </w:rPr>
        <w:t xml:space="preserve">least educated women have </w:t>
      </w:r>
      <w:r>
        <w:rPr>
          <w:rFonts w:asciiTheme="minorHAnsi" w:hAnsiTheme="minorHAnsi" w:cstheme="minorHAnsi"/>
          <w:lang w:val="en-US"/>
        </w:rPr>
        <w:t>many</w:t>
      </w:r>
      <w:r w:rsidRPr="001E43F2">
        <w:rPr>
          <w:rFonts w:asciiTheme="minorHAnsi" w:hAnsiTheme="minorHAnsi" w:cstheme="minorHAnsi"/>
          <w:lang w:val="en-US"/>
        </w:rPr>
        <w:t xml:space="preserve"> children, women with an average education level have fewer children, but women with higher education tend to have more children than women of average education (</w:t>
      </w:r>
      <w:proofErr w:type="spellStart"/>
      <w:r w:rsidRPr="001E43F2">
        <w:rPr>
          <w:rFonts w:asciiTheme="minorHAnsi" w:hAnsiTheme="minorHAnsi" w:cstheme="minorHAnsi"/>
          <w:lang w:val="en-US"/>
        </w:rPr>
        <w:t>Zoabi</w:t>
      </w:r>
      <w:proofErr w:type="spellEnd"/>
      <w:r w:rsidRPr="001E43F2">
        <w:rPr>
          <w:rFonts w:asciiTheme="minorHAnsi" w:hAnsiTheme="minorHAnsi" w:cstheme="minorHAnsi"/>
          <w:lang w:val="en-US"/>
        </w:rPr>
        <w:t xml:space="preserve"> &amp; </w:t>
      </w:r>
      <w:proofErr w:type="spellStart"/>
      <w:r w:rsidRPr="001E43F2">
        <w:rPr>
          <w:rFonts w:asciiTheme="minorHAnsi" w:hAnsiTheme="minorHAnsi" w:cstheme="minorHAnsi"/>
          <w:lang w:val="en-US"/>
        </w:rPr>
        <w:t>Hazan</w:t>
      </w:r>
      <w:proofErr w:type="spellEnd"/>
      <w:r w:rsidRPr="001E43F2">
        <w:rPr>
          <w:rFonts w:asciiTheme="minorHAnsi" w:hAnsiTheme="minorHAnsi" w:cstheme="minorHAnsi"/>
          <w:lang w:val="en-US"/>
        </w:rPr>
        <w:t xml:space="preserve">, 2015). </w:t>
      </w:r>
      <w:r>
        <w:rPr>
          <w:rFonts w:asciiTheme="minorHAnsi" w:hAnsiTheme="minorHAnsi" w:cstheme="minorHAnsi"/>
          <w:lang w:val="en-US"/>
        </w:rPr>
        <w:t>Possibly, higher</w:t>
      </w:r>
      <w:r w:rsidRPr="001E43F2">
        <w:rPr>
          <w:rFonts w:asciiTheme="minorHAnsi" w:hAnsiTheme="minorHAnsi" w:cstheme="minorHAnsi"/>
          <w:lang w:val="en-US"/>
        </w:rPr>
        <w:t xml:space="preserve"> educated women </w:t>
      </w:r>
      <w:r>
        <w:rPr>
          <w:rFonts w:asciiTheme="minorHAnsi" w:hAnsiTheme="minorHAnsi" w:cstheme="minorHAnsi"/>
          <w:lang w:val="en-US"/>
        </w:rPr>
        <w:t>have better</w:t>
      </w:r>
      <w:r w:rsidRPr="001E43F2">
        <w:rPr>
          <w:rFonts w:asciiTheme="minorHAnsi" w:hAnsiTheme="minorHAnsi" w:cstheme="minorHAnsi"/>
          <w:lang w:val="en-US"/>
        </w:rPr>
        <w:t xml:space="preserve"> financial resources for raising children, childcare and housework, and </w:t>
      </w:r>
      <w:r>
        <w:rPr>
          <w:rFonts w:asciiTheme="minorHAnsi" w:hAnsiTheme="minorHAnsi" w:cstheme="minorHAnsi"/>
          <w:lang w:val="en-US"/>
        </w:rPr>
        <w:t>are thus able to</w:t>
      </w:r>
      <w:r w:rsidRPr="001E43F2">
        <w:rPr>
          <w:rFonts w:asciiTheme="minorHAnsi" w:hAnsiTheme="minorHAnsi" w:cstheme="minorHAnsi"/>
          <w:lang w:val="en-US"/>
        </w:rPr>
        <w:t xml:space="preserve"> work longer hours (</w:t>
      </w:r>
      <w:proofErr w:type="spellStart"/>
      <w:r>
        <w:rPr>
          <w:rFonts w:asciiTheme="minorHAnsi" w:hAnsiTheme="minorHAnsi" w:cstheme="minorHAnsi"/>
          <w:lang w:val="en-US"/>
        </w:rPr>
        <w:t>ibidem</w:t>
      </w:r>
      <w:proofErr w:type="spellEnd"/>
      <w:r w:rsidRPr="001E43F2">
        <w:rPr>
          <w:rFonts w:asciiTheme="minorHAnsi" w:hAnsiTheme="minorHAnsi" w:cstheme="minorHAnsi"/>
          <w:lang w:val="en-US"/>
        </w:rPr>
        <w:t xml:space="preserve">).  </w:t>
      </w:r>
    </w:p>
    <w:p w14:paraId="3A93A805" w14:textId="583F706E" w:rsidR="004812F2" w:rsidRPr="004812F2" w:rsidRDefault="004812F2" w:rsidP="004812F2">
      <w:pPr>
        <w:spacing w:line="480" w:lineRule="auto"/>
        <w:jc w:val="both"/>
        <w:rPr>
          <w:rFonts w:asciiTheme="minorHAnsi" w:hAnsiTheme="minorHAnsi" w:cstheme="minorHAnsi"/>
          <w:lang w:val="en-US"/>
        </w:rPr>
      </w:pPr>
      <w:r>
        <w:rPr>
          <w:rFonts w:asciiTheme="minorHAnsi" w:hAnsiTheme="minorHAnsi" w:cstheme="minorHAnsi"/>
          <w:lang w:val="en-US"/>
        </w:rPr>
        <w:t xml:space="preserve">Economists often explain these educational differences with </w:t>
      </w:r>
      <w:r w:rsidRPr="004812F2">
        <w:rPr>
          <w:rFonts w:asciiTheme="minorHAnsi" w:hAnsiTheme="minorHAnsi" w:cstheme="minorHAnsi"/>
          <w:lang w:val="en-US"/>
        </w:rPr>
        <w:t>higher opportunity cost for</w:t>
      </w:r>
      <w:r>
        <w:rPr>
          <w:rFonts w:asciiTheme="minorHAnsi" w:hAnsiTheme="minorHAnsi" w:cstheme="minorHAnsi"/>
          <w:lang w:val="en-US"/>
        </w:rPr>
        <w:t xml:space="preserve"> highly educated </w:t>
      </w:r>
      <w:r w:rsidRPr="004812F2">
        <w:rPr>
          <w:rFonts w:asciiTheme="minorHAnsi" w:hAnsiTheme="minorHAnsi" w:cstheme="minorHAnsi"/>
          <w:lang w:val="en-US"/>
        </w:rPr>
        <w:t>women</w:t>
      </w:r>
      <w:r w:rsidR="006844F8">
        <w:rPr>
          <w:rFonts w:asciiTheme="minorHAnsi" w:hAnsiTheme="minorHAnsi" w:cstheme="minorHAnsi"/>
          <w:lang w:val="en-US"/>
        </w:rPr>
        <w:t xml:space="preserve"> (</w:t>
      </w:r>
      <w:r w:rsidR="006844F8" w:rsidRPr="001516D8">
        <w:rPr>
          <w:rFonts w:asciiTheme="minorHAnsi" w:hAnsiTheme="minorHAnsi" w:cstheme="minorHAnsi"/>
          <w:lang w:val="en-US"/>
        </w:rPr>
        <w:t>Morgan and Taylor 2006</w:t>
      </w:r>
      <w:r w:rsidR="006844F8">
        <w:rPr>
          <w:rFonts w:asciiTheme="minorHAnsi" w:hAnsiTheme="minorHAnsi" w:cstheme="minorHAnsi"/>
          <w:lang w:val="en-US"/>
        </w:rPr>
        <w:t>)</w:t>
      </w:r>
      <w:r>
        <w:rPr>
          <w:rFonts w:asciiTheme="minorHAnsi" w:hAnsiTheme="minorHAnsi" w:cstheme="minorHAnsi"/>
          <w:lang w:val="en-US"/>
        </w:rPr>
        <w:t>. In contrast,</w:t>
      </w:r>
      <w:r w:rsidRPr="004812F2">
        <w:rPr>
          <w:rFonts w:asciiTheme="minorHAnsi" w:hAnsiTheme="minorHAnsi" w:cstheme="minorHAnsi"/>
          <w:lang w:val="en-US"/>
        </w:rPr>
        <w:t xml:space="preserve"> </w:t>
      </w:r>
      <w:r>
        <w:rPr>
          <w:rFonts w:asciiTheme="minorHAnsi" w:hAnsiTheme="minorHAnsi" w:cstheme="minorHAnsi"/>
          <w:lang w:val="en-US"/>
        </w:rPr>
        <w:t xml:space="preserve">according to sociological theories of fertility including </w:t>
      </w:r>
      <w:r w:rsidRPr="004812F2">
        <w:rPr>
          <w:rFonts w:asciiTheme="minorHAnsi" w:hAnsiTheme="minorHAnsi" w:cstheme="minorHAnsi"/>
          <w:lang w:val="en-US"/>
        </w:rPr>
        <w:t xml:space="preserve">the cultural </w:t>
      </w:r>
      <w:r>
        <w:rPr>
          <w:rFonts w:asciiTheme="minorHAnsi" w:hAnsiTheme="minorHAnsi" w:cstheme="minorHAnsi"/>
          <w:lang w:val="en-US"/>
        </w:rPr>
        <w:t>(</w:t>
      </w:r>
      <w:r w:rsidRPr="004812F2">
        <w:rPr>
          <w:rFonts w:asciiTheme="minorHAnsi" w:hAnsiTheme="minorHAnsi" w:cstheme="minorHAnsi"/>
          <w:lang w:val="en-US"/>
        </w:rPr>
        <w:t>ideational</w:t>
      </w:r>
      <w:r>
        <w:rPr>
          <w:rFonts w:asciiTheme="minorHAnsi" w:hAnsiTheme="minorHAnsi" w:cstheme="minorHAnsi"/>
          <w:lang w:val="en-US"/>
        </w:rPr>
        <w:t>)</w:t>
      </w:r>
      <w:r w:rsidRPr="004812F2">
        <w:rPr>
          <w:rFonts w:asciiTheme="minorHAnsi" w:hAnsiTheme="minorHAnsi" w:cstheme="minorHAnsi"/>
          <w:lang w:val="en-US"/>
        </w:rPr>
        <w:t xml:space="preserve"> </w:t>
      </w:r>
      <w:r>
        <w:rPr>
          <w:rFonts w:asciiTheme="minorHAnsi" w:hAnsiTheme="minorHAnsi" w:cstheme="minorHAnsi"/>
          <w:lang w:val="en-US"/>
        </w:rPr>
        <w:t>approach,</w:t>
      </w:r>
      <w:r w:rsidRPr="004812F2">
        <w:rPr>
          <w:rFonts w:asciiTheme="minorHAnsi" w:hAnsiTheme="minorHAnsi" w:cstheme="minorHAnsi"/>
          <w:lang w:val="en-US"/>
        </w:rPr>
        <w:t xml:space="preserve"> education of women is viewed as a modernization or </w:t>
      </w:r>
      <w:proofErr w:type="spellStart"/>
      <w:r w:rsidRPr="004812F2">
        <w:rPr>
          <w:rFonts w:asciiTheme="minorHAnsi" w:hAnsiTheme="minorHAnsi" w:cstheme="minorHAnsi"/>
          <w:lang w:val="en-US"/>
        </w:rPr>
        <w:t>individualisation</w:t>
      </w:r>
      <w:proofErr w:type="spellEnd"/>
      <w:r w:rsidRPr="004812F2">
        <w:rPr>
          <w:rFonts w:asciiTheme="minorHAnsi" w:hAnsiTheme="minorHAnsi" w:cstheme="minorHAnsi"/>
          <w:lang w:val="en-US"/>
        </w:rPr>
        <w:t xml:space="preserve"> process (Blake, 1968; Caldwell, 1976; </w:t>
      </w:r>
      <w:proofErr w:type="spellStart"/>
      <w:r w:rsidRPr="004812F2">
        <w:rPr>
          <w:rFonts w:asciiTheme="minorHAnsi" w:hAnsiTheme="minorHAnsi" w:cstheme="minorHAnsi"/>
          <w:lang w:val="en-US"/>
        </w:rPr>
        <w:t>Leasthage</w:t>
      </w:r>
      <w:proofErr w:type="spellEnd"/>
      <w:r w:rsidRPr="004812F2">
        <w:rPr>
          <w:rFonts w:asciiTheme="minorHAnsi" w:hAnsiTheme="minorHAnsi" w:cstheme="minorHAnsi"/>
          <w:lang w:val="en-US"/>
        </w:rPr>
        <w:t xml:space="preserve">, 1983). As individuals emancipate from the community; and they not feel the same social obligation to </w:t>
      </w:r>
      <w:proofErr w:type="gramStart"/>
      <w:r w:rsidRPr="004812F2">
        <w:rPr>
          <w:rFonts w:asciiTheme="minorHAnsi" w:hAnsiTheme="minorHAnsi" w:cstheme="minorHAnsi"/>
          <w:lang w:val="en-US"/>
        </w:rPr>
        <w:t>upheld</w:t>
      </w:r>
      <w:proofErr w:type="gramEnd"/>
      <w:r w:rsidRPr="004812F2">
        <w:rPr>
          <w:rFonts w:asciiTheme="minorHAnsi" w:hAnsiTheme="minorHAnsi" w:cstheme="minorHAnsi"/>
          <w:lang w:val="en-US"/>
        </w:rPr>
        <w:t xml:space="preserve"> the traditional family structures and fertility behavior.</w:t>
      </w:r>
      <w:r w:rsidR="0014654E">
        <w:rPr>
          <w:rStyle w:val="FootnoteReference"/>
          <w:rFonts w:asciiTheme="minorHAnsi" w:hAnsiTheme="minorHAnsi" w:cstheme="minorHAnsi"/>
          <w:lang w:val="en-US"/>
        </w:rPr>
        <w:footnoteReference w:id="1"/>
      </w:r>
      <w:r w:rsidRPr="004812F2">
        <w:rPr>
          <w:rFonts w:asciiTheme="minorHAnsi" w:hAnsiTheme="minorHAnsi" w:cstheme="minorHAnsi"/>
          <w:lang w:val="en-US"/>
        </w:rPr>
        <w:t xml:space="preserve"> These processes vary by educational level, field and by country. </w:t>
      </w:r>
      <w:r w:rsidR="0014654E">
        <w:rPr>
          <w:rFonts w:asciiTheme="minorHAnsi" w:hAnsiTheme="minorHAnsi" w:cstheme="minorHAnsi"/>
          <w:lang w:val="en-US"/>
        </w:rPr>
        <w:t>Therefore</w:t>
      </w:r>
      <w:r w:rsidR="00CB00C3">
        <w:rPr>
          <w:rFonts w:asciiTheme="minorHAnsi" w:hAnsiTheme="minorHAnsi" w:cstheme="minorHAnsi"/>
          <w:lang w:val="en-US"/>
        </w:rPr>
        <w:t xml:space="preserve">, also macro level </w:t>
      </w:r>
      <w:r w:rsidR="00CB00C3">
        <w:rPr>
          <w:rFonts w:asciiTheme="minorHAnsi" w:hAnsiTheme="minorHAnsi" w:cstheme="minorHAnsi"/>
          <w:lang w:val="en-US"/>
        </w:rPr>
        <w:lastRenderedPageBreak/>
        <w:t xml:space="preserve">conditions such as policies or the welfare regime </w:t>
      </w:r>
      <w:r w:rsidR="0014654E">
        <w:rPr>
          <w:rFonts w:asciiTheme="minorHAnsi" w:hAnsiTheme="minorHAnsi" w:cstheme="minorHAnsi"/>
          <w:lang w:val="en-US"/>
        </w:rPr>
        <w:t>have been used to</w:t>
      </w:r>
      <w:r w:rsidR="00CB00C3">
        <w:rPr>
          <w:rFonts w:asciiTheme="minorHAnsi" w:hAnsiTheme="minorHAnsi" w:cstheme="minorHAnsi"/>
          <w:lang w:val="en-US"/>
        </w:rPr>
        <w:t xml:space="preserve"> explain fertility </w:t>
      </w:r>
      <w:proofErr w:type="spellStart"/>
      <w:r w:rsidR="00CB00C3">
        <w:rPr>
          <w:rFonts w:asciiTheme="minorHAnsi" w:hAnsiTheme="minorHAnsi" w:cstheme="minorHAnsi"/>
          <w:lang w:val="en-US"/>
        </w:rPr>
        <w:t>behaviour</w:t>
      </w:r>
      <w:proofErr w:type="spellEnd"/>
      <w:r w:rsidR="00CB00C3">
        <w:rPr>
          <w:rFonts w:asciiTheme="minorHAnsi" w:hAnsiTheme="minorHAnsi" w:cstheme="minorHAnsi"/>
          <w:lang w:val="en-US"/>
        </w:rPr>
        <w:t xml:space="preserve"> </w:t>
      </w:r>
      <w:r w:rsidR="006844F8" w:rsidRPr="001516D8">
        <w:rPr>
          <w:rFonts w:asciiTheme="minorHAnsi" w:hAnsiTheme="minorHAnsi" w:cstheme="minorHAnsi"/>
          <w:lang w:val="en-US"/>
        </w:rPr>
        <w:t xml:space="preserve">(Balbo, </w:t>
      </w:r>
      <w:proofErr w:type="spellStart"/>
      <w:r w:rsidR="006844F8" w:rsidRPr="001516D8">
        <w:rPr>
          <w:rFonts w:asciiTheme="minorHAnsi" w:hAnsiTheme="minorHAnsi" w:cstheme="minorHAnsi"/>
          <w:lang w:val="en-US"/>
        </w:rPr>
        <w:t>Billari</w:t>
      </w:r>
      <w:proofErr w:type="spellEnd"/>
      <w:r w:rsidR="006844F8" w:rsidRPr="001516D8">
        <w:rPr>
          <w:rFonts w:asciiTheme="minorHAnsi" w:hAnsiTheme="minorHAnsi" w:cstheme="minorHAnsi"/>
          <w:lang w:val="en-US"/>
        </w:rPr>
        <w:t xml:space="preserve"> and Mills </w:t>
      </w:r>
      <w:r w:rsidR="00CB00C3">
        <w:rPr>
          <w:rFonts w:asciiTheme="minorHAnsi" w:hAnsiTheme="minorHAnsi" w:cstheme="minorHAnsi"/>
          <w:lang w:val="en-US"/>
        </w:rPr>
        <w:t xml:space="preserve">2013, </w:t>
      </w:r>
      <w:proofErr w:type="spellStart"/>
      <w:r w:rsidR="006844F8" w:rsidRPr="001516D8">
        <w:rPr>
          <w:rFonts w:asciiTheme="minorHAnsi" w:hAnsiTheme="minorHAnsi" w:cstheme="minorHAnsi"/>
          <w:lang w:val="en-US"/>
        </w:rPr>
        <w:t>Hilgeman</w:t>
      </w:r>
      <w:proofErr w:type="spellEnd"/>
      <w:r w:rsidR="006844F8" w:rsidRPr="001516D8">
        <w:rPr>
          <w:rFonts w:asciiTheme="minorHAnsi" w:hAnsiTheme="minorHAnsi" w:cstheme="minorHAnsi"/>
          <w:lang w:val="en-US"/>
        </w:rPr>
        <w:t xml:space="preserve"> &amp; Butts, 2009). </w:t>
      </w:r>
    </w:p>
    <w:p w14:paraId="06635371" w14:textId="4BA8EBC3" w:rsidR="00793DFD" w:rsidRPr="00E233B9" w:rsidRDefault="00F758E7" w:rsidP="00E233B9">
      <w:pPr>
        <w:pStyle w:val="Heading1"/>
        <w:spacing w:line="480" w:lineRule="auto"/>
        <w:rPr>
          <w:lang w:val="en-US"/>
        </w:rPr>
      </w:pPr>
      <w:r w:rsidRPr="00E233B9">
        <w:rPr>
          <w:lang w:val="en-US"/>
        </w:rPr>
        <w:t>Method</w:t>
      </w:r>
    </w:p>
    <w:p w14:paraId="29C02152" w14:textId="7BE6BA15" w:rsidR="007C0F6B" w:rsidRPr="007C0F6B" w:rsidRDefault="00614D87" w:rsidP="00E233B9">
      <w:pPr>
        <w:spacing w:line="480" w:lineRule="auto"/>
        <w:jc w:val="both"/>
        <w:rPr>
          <w:rFonts w:asciiTheme="minorHAnsi" w:hAnsiTheme="minorHAnsi" w:cstheme="minorHAnsi"/>
          <w:lang w:val="en-US"/>
        </w:rPr>
      </w:pPr>
      <w:r w:rsidRPr="00E233B9">
        <w:rPr>
          <w:rFonts w:asciiTheme="minorHAnsi" w:hAnsiTheme="minorHAnsi" w:cstheme="minorHAnsi"/>
          <w:lang w:val="en-US"/>
        </w:rPr>
        <w:t xml:space="preserve">To </w:t>
      </w:r>
      <w:proofErr w:type="spellStart"/>
      <w:r w:rsidRPr="00E233B9">
        <w:rPr>
          <w:rFonts w:asciiTheme="minorHAnsi" w:hAnsiTheme="minorHAnsi" w:cstheme="minorHAnsi"/>
          <w:lang w:val="en-US"/>
        </w:rPr>
        <w:t>analyse</w:t>
      </w:r>
      <w:proofErr w:type="spellEnd"/>
      <w:r w:rsidRPr="00E233B9">
        <w:rPr>
          <w:rFonts w:asciiTheme="minorHAnsi" w:hAnsiTheme="minorHAnsi" w:cstheme="minorHAnsi"/>
          <w:lang w:val="en-US"/>
        </w:rPr>
        <w:t xml:space="preserve"> trends in ESF, we use age-period-cohort (APC) analyses are appropriate. </w:t>
      </w:r>
      <w:r w:rsidR="00201032" w:rsidRPr="00201032">
        <w:rPr>
          <w:rFonts w:asciiTheme="minorHAnsi" w:hAnsiTheme="minorHAnsi" w:cstheme="minorHAnsi"/>
          <w:lang w:val="en-US"/>
        </w:rPr>
        <w:t xml:space="preserve">We </w:t>
      </w:r>
      <w:r w:rsidR="00201032" w:rsidRPr="00877E1F">
        <w:rPr>
          <w:rFonts w:asciiTheme="minorHAnsi" w:hAnsiTheme="minorHAnsi" w:cstheme="minorHAnsi"/>
          <w:lang w:val="en-US"/>
        </w:rPr>
        <w:t xml:space="preserve">construct 5-year cohorts based on the year of birth from </w:t>
      </w:r>
      <w:r w:rsidR="001C046C" w:rsidRPr="00877E1F">
        <w:rPr>
          <w:rFonts w:asciiTheme="minorHAnsi" w:hAnsiTheme="minorHAnsi" w:cstheme="minorHAnsi"/>
          <w:lang w:val="en-US"/>
        </w:rPr>
        <w:t>1945</w:t>
      </w:r>
      <w:r w:rsidR="00201032" w:rsidRPr="00877E1F">
        <w:rPr>
          <w:rFonts w:asciiTheme="minorHAnsi" w:hAnsiTheme="minorHAnsi" w:cstheme="minorHAnsi"/>
          <w:lang w:val="en-US"/>
        </w:rPr>
        <w:t xml:space="preserve"> to 1980 and follo</w:t>
      </w:r>
      <w:r w:rsidR="00AD02A6">
        <w:rPr>
          <w:rFonts w:asciiTheme="minorHAnsi" w:hAnsiTheme="minorHAnsi" w:cstheme="minorHAnsi"/>
          <w:lang w:val="en-US"/>
        </w:rPr>
        <w:t>w them over the period from 1985</w:t>
      </w:r>
      <w:r w:rsidR="00201032" w:rsidRPr="00877E1F">
        <w:rPr>
          <w:rFonts w:asciiTheme="minorHAnsi" w:hAnsiTheme="minorHAnsi" w:cstheme="minorHAnsi"/>
          <w:lang w:val="en-US"/>
        </w:rPr>
        <w:t xml:space="preserve"> until 2010. </w:t>
      </w:r>
      <w:r w:rsidR="00427A70" w:rsidRPr="00877E1F">
        <w:rPr>
          <w:rFonts w:asciiTheme="minorHAnsi" w:hAnsiTheme="minorHAnsi" w:cstheme="minorHAnsi"/>
          <w:lang w:val="en-US"/>
        </w:rPr>
        <w:t>The d</w:t>
      </w:r>
      <w:r w:rsidR="007C0F6B" w:rsidRPr="00877E1F">
        <w:rPr>
          <w:rFonts w:asciiTheme="minorHAnsi" w:hAnsiTheme="minorHAnsi" w:cstheme="minorHAnsi"/>
          <w:lang w:val="en-US"/>
        </w:rPr>
        <w:t>ependent variable y</w:t>
      </w:r>
      <w:r w:rsidR="00427A70" w:rsidRPr="00877E1F">
        <w:rPr>
          <w:rFonts w:asciiTheme="minorHAnsi" w:hAnsiTheme="minorHAnsi" w:cstheme="minorHAnsi"/>
          <w:lang w:val="en-US"/>
        </w:rPr>
        <w:t xml:space="preserve"> (ESF, see variable section)</w:t>
      </w:r>
      <w:r w:rsidR="007C0F6B" w:rsidRPr="00877E1F">
        <w:rPr>
          <w:rFonts w:asciiTheme="minorHAnsi" w:hAnsiTheme="minorHAnsi" w:cstheme="minorHAnsi"/>
          <w:lang w:val="en-US"/>
        </w:rPr>
        <w:t xml:space="preserve"> observed in a series of cross-se</w:t>
      </w:r>
      <w:r w:rsidR="007C0F6B" w:rsidRPr="007C0F6B">
        <w:rPr>
          <w:rFonts w:asciiTheme="minorHAnsi" w:hAnsiTheme="minorHAnsi" w:cstheme="minorHAnsi"/>
          <w:lang w:val="en-US"/>
        </w:rPr>
        <w:t xml:space="preserve">ctional surveys assembled in a Lexis table (Age x Period) </w:t>
      </w:r>
      <w:r w:rsidR="00427A70">
        <w:rPr>
          <w:rFonts w:asciiTheme="minorHAnsi" w:hAnsiTheme="minorHAnsi" w:cstheme="minorHAnsi"/>
          <w:lang w:val="en-US"/>
        </w:rPr>
        <w:t>will be decomposed</w:t>
      </w:r>
      <w:r w:rsidR="007C0F6B" w:rsidRPr="007C0F6B">
        <w:rPr>
          <w:rFonts w:asciiTheme="minorHAnsi" w:hAnsiTheme="minorHAnsi" w:cstheme="minorHAnsi"/>
          <w:lang w:val="en-US"/>
        </w:rPr>
        <w:t xml:space="preserve"> in effects of age a (</w:t>
      </w:r>
      <w:proofErr w:type="gramStart"/>
      <w:r w:rsidR="007C0F6B" w:rsidRPr="007C0F6B">
        <w:rPr>
          <w:rFonts w:asciiTheme="minorHAnsi" w:hAnsiTheme="minorHAnsi" w:cstheme="minorHAnsi"/>
          <w:lang w:val="en-US"/>
        </w:rPr>
        <w:t>α</w:t>
      </w:r>
      <w:r w:rsidR="007C0F6B" w:rsidRPr="007C0F6B">
        <w:rPr>
          <w:rFonts w:asciiTheme="minorHAnsi" w:hAnsiTheme="minorHAnsi" w:cstheme="minorHAnsi"/>
          <w:vertAlign w:val="subscript"/>
          <w:lang w:val="en-US"/>
        </w:rPr>
        <w:t>a</w:t>
      </w:r>
      <w:proofErr w:type="gramEnd"/>
      <w:r w:rsidR="007C0F6B" w:rsidRPr="007C0F6B">
        <w:rPr>
          <w:rFonts w:asciiTheme="minorHAnsi" w:hAnsiTheme="minorHAnsi" w:cstheme="minorHAnsi"/>
          <w:lang w:val="en-US"/>
        </w:rPr>
        <w:t>), period p (π</w:t>
      </w:r>
      <w:r w:rsidR="007C0F6B" w:rsidRPr="007C0F6B">
        <w:rPr>
          <w:rFonts w:asciiTheme="minorHAnsi" w:hAnsiTheme="minorHAnsi" w:cstheme="minorHAnsi"/>
          <w:vertAlign w:val="subscript"/>
          <w:lang w:val="en-US"/>
        </w:rPr>
        <w:t>p</w:t>
      </w:r>
      <w:r w:rsidR="007C0F6B" w:rsidRPr="007C0F6B">
        <w:rPr>
          <w:rFonts w:asciiTheme="minorHAnsi" w:hAnsiTheme="minorHAnsi" w:cstheme="minorHAnsi"/>
          <w:lang w:val="en-US"/>
        </w:rPr>
        <w:t>) and cohort membership c (</w:t>
      </w:r>
      <w:proofErr w:type="spellStart"/>
      <w:r w:rsidR="007C0F6B" w:rsidRPr="007C0F6B">
        <w:rPr>
          <w:rFonts w:asciiTheme="minorHAnsi" w:hAnsiTheme="minorHAnsi" w:cstheme="minorHAnsi"/>
          <w:lang w:val="en-US"/>
        </w:rPr>
        <w:t>γ</w:t>
      </w:r>
      <w:r w:rsidR="007C0F6B" w:rsidRPr="007C0F6B">
        <w:rPr>
          <w:rFonts w:asciiTheme="minorHAnsi" w:hAnsiTheme="minorHAnsi" w:cstheme="minorHAnsi"/>
          <w:vertAlign w:val="subscript"/>
          <w:lang w:val="en-US"/>
        </w:rPr>
        <w:t>c</w:t>
      </w:r>
      <w:proofErr w:type="spellEnd"/>
      <w:r w:rsidR="00427A70">
        <w:rPr>
          <w:rFonts w:asciiTheme="minorHAnsi" w:hAnsiTheme="minorHAnsi" w:cstheme="minorHAnsi"/>
          <w:lang w:val="en-US"/>
        </w:rPr>
        <w:t>):</w:t>
      </w:r>
    </w:p>
    <w:p w14:paraId="2F8EAD9D" w14:textId="44063BDC" w:rsidR="007C0F6B" w:rsidRPr="007C0F6B" w:rsidRDefault="006428B7" w:rsidP="00E233B9">
      <w:pPr>
        <w:spacing w:line="480" w:lineRule="auto"/>
        <w:jc w:val="both"/>
        <w:rPr>
          <w:rFonts w:asciiTheme="minorHAnsi" w:hAnsiTheme="minorHAnsi" w:cstheme="minorHAnsi"/>
          <w:i/>
          <w:lang w:val="en-US"/>
        </w:rPr>
      </w:pPr>
      <m:oMathPara>
        <m:oMath>
          <m:sSup>
            <m:sSupPr>
              <m:ctrlPr>
                <w:rPr>
                  <w:rFonts w:ascii="Cambria Math" w:hAnsi="Cambria Math" w:cstheme="minorHAnsi"/>
                  <w:i/>
                  <w:lang w:val="en-US"/>
                </w:rPr>
              </m:ctrlPr>
            </m:sSupPr>
            <m:e>
              <m:r>
                <w:rPr>
                  <w:rFonts w:ascii="Cambria Math" w:hAnsi="Cambria Math" w:cstheme="minorHAnsi"/>
                  <w:lang w:val="en-US"/>
                </w:rPr>
                <m:t>y</m:t>
              </m:r>
            </m:e>
            <m:sup>
              <m:r>
                <w:rPr>
                  <w:rFonts w:ascii="Cambria Math" w:hAnsi="Cambria Math" w:cstheme="minorHAnsi"/>
                  <w:lang w:val="en-US"/>
                </w:rPr>
                <m:t>apc</m:t>
              </m:r>
            </m:sup>
          </m:sSup>
          <m:r>
            <w:rPr>
              <w:rFonts w:ascii="Cambria Math" w:hAnsi="Cambria Math" w:cstheme="minorHAnsi"/>
              <w:lang w:val="en-US"/>
            </w:rPr>
            <m:t>=μ+</m:t>
          </m:r>
          <m:sSub>
            <m:sSubPr>
              <m:ctrlPr>
                <w:rPr>
                  <w:rFonts w:ascii="Cambria Math" w:hAnsi="Cambria Math" w:cstheme="minorHAnsi"/>
                  <w:i/>
                  <w:lang w:val="en-US"/>
                </w:rPr>
              </m:ctrlPr>
            </m:sSubPr>
            <m:e>
              <m:r>
                <w:rPr>
                  <w:rFonts w:ascii="Cambria Math" w:hAnsi="Cambria Math" w:cstheme="minorHAnsi"/>
                  <w:lang w:val="en-US"/>
                </w:rPr>
                <m:t>α</m:t>
              </m:r>
            </m:e>
            <m:sub>
              <m:r>
                <w:rPr>
                  <w:rFonts w:ascii="Cambria Math" w:hAnsi="Cambria Math" w:cstheme="minorHAnsi"/>
                  <w:lang w:val="en-US"/>
                </w:rPr>
                <m:t>a</m:t>
              </m:r>
            </m:sub>
          </m:sSub>
          <m:r>
            <w:rPr>
              <w:rFonts w:ascii="Cambria Math" w:hAnsi="Cambria Math" w:cstheme="minorHAnsi"/>
              <w:lang w:val="en-US"/>
            </w:rPr>
            <m:t>+π</m:t>
          </m:r>
          <m:sSub>
            <m:sSubPr>
              <m:ctrlPr>
                <w:rPr>
                  <w:rFonts w:ascii="Cambria Math" w:hAnsi="Cambria Math" w:cstheme="minorHAnsi"/>
                  <w:i/>
                  <w:lang w:val="en-US"/>
                </w:rPr>
              </m:ctrlPr>
            </m:sSubPr>
            <m:e>
              <m:r>
                <m:rPr>
                  <m:sty m:val="p"/>
                </m:rPr>
                <w:rPr>
                  <w:rFonts w:ascii="Cambria Math" w:hAnsi="Cambria Math" w:cstheme="minorHAnsi"/>
                  <w:lang w:val="en-US"/>
                </w:rPr>
                <w:softHyphen/>
              </m:r>
            </m:e>
            <m:sub>
              <m:r>
                <w:rPr>
                  <w:rFonts w:ascii="Cambria Math" w:hAnsi="Cambria Math" w:cstheme="minorHAnsi"/>
                  <w:lang w:val="en-US"/>
                </w:rPr>
                <m:t>p</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γ</m:t>
              </m:r>
            </m:e>
            <m:sub>
              <m:r>
                <w:rPr>
                  <w:rFonts w:ascii="Cambria Math" w:hAnsi="Cambria Math" w:cstheme="minorHAnsi"/>
                  <w:lang w:val="en-US"/>
                </w:rPr>
                <m:t>c</m:t>
              </m:r>
            </m:sub>
          </m:sSub>
          <m:r>
            <w:rPr>
              <w:rFonts w:ascii="Cambria Math" w:hAnsi="Cambria Math" w:cstheme="minorHAnsi"/>
              <w:lang w:val="en-US"/>
            </w:rPr>
            <m:t>(APC)(1)</m:t>
          </m:r>
        </m:oMath>
      </m:oMathPara>
    </w:p>
    <w:p w14:paraId="1D6CB7A9" w14:textId="608FD091" w:rsidR="007C0F6B" w:rsidRPr="007C0F6B" w:rsidRDefault="007C0F6B" w:rsidP="00E233B9">
      <w:pPr>
        <w:spacing w:line="480" w:lineRule="auto"/>
        <w:jc w:val="both"/>
        <w:rPr>
          <w:rFonts w:asciiTheme="minorHAnsi" w:hAnsiTheme="minorHAnsi" w:cstheme="minorHAnsi"/>
          <w:lang w:val="en-US"/>
        </w:rPr>
      </w:pPr>
      <w:r w:rsidRPr="007C0F6B">
        <w:rPr>
          <w:rFonts w:asciiTheme="minorHAnsi" w:hAnsiTheme="minorHAnsi" w:cstheme="minorHAnsi"/>
          <w:lang w:val="en-US"/>
        </w:rPr>
        <w:t xml:space="preserve">In an APC model, the dependent variable is affected by the age of the respondent, the period in which he or she lives and the generation, or birth cohort to which he or she belongs to. However, since cohort is a linear combination of age and period: c=p-a, the basic model suffers from an identification problem, which has been extensively commented and reviewed (Mason &amp; </w:t>
      </w:r>
      <w:proofErr w:type="spellStart"/>
      <w:r w:rsidRPr="007C0F6B">
        <w:rPr>
          <w:rFonts w:asciiTheme="minorHAnsi" w:hAnsiTheme="minorHAnsi" w:cstheme="minorHAnsi"/>
          <w:lang w:val="en-US"/>
        </w:rPr>
        <w:t>Wolfinger</w:t>
      </w:r>
      <w:proofErr w:type="spellEnd"/>
      <w:r w:rsidRPr="007C0F6B">
        <w:rPr>
          <w:rFonts w:asciiTheme="minorHAnsi" w:hAnsiTheme="minorHAnsi" w:cstheme="minorHAnsi"/>
          <w:lang w:val="en-US"/>
        </w:rPr>
        <w:t xml:space="preserve"> 2001).</w:t>
      </w:r>
      <w:r>
        <w:rPr>
          <w:rFonts w:asciiTheme="minorHAnsi" w:hAnsiTheme="minorHAnsi" w:cstheme="minorHAnsi"/>
          <w:lang w:val="en-US"/>
        </w:rPr>
        <w:t xml:space="preserve"> We therefore impose </w:t>
      </w:r>
      <w:r w:rsidRPr="007C0F6B">
        <w:rPr>
          <w:rFonts w:asciiTheme="minorHAnsi" w:hAnsiTheme="minorHAnsi" w:cstheme="minorHAnsi"/>
          <w:lang w:val="en-US"/>
        </w:rPr>
        <w:t>constrain</w:t>
      </w:r>
      <w:r w:rsidR="00FA5342">
        <w:rPr>
          <w:rFonts w:asciiTheme="minorHAnsi" w:hAnsiTheme="minorHAnsi" w:cstheme="minorHAnsi"/>
          <w:lang w:val="en-US"/>
        </w:rPr>
        <w:t>t</w:t>
      </w:r>
      <w:r w:rsidRPr="007C0F6B">
        <w:rPr>
          <w:rFonts w:asciiTheme="minorHAnsi" w:hAnsiTheme="minorHAnsi" w:cstheme="minorHAnsi"/>
          <w:lang w:val="en-US"/>
        </w:rPr>
        <w:t>s on the APC mo</w:t>
      </w:r>
      <w:r w:rsidR="002807C9">
        <w:rPr>
          <w:rFonts w:asciiTheme="minorHAnsi" w:hAnsiTheme="minorHAnsi" w:cstheme="minorHAnsi"/>
          <w:lang w:val="en-US"/>
        </w:rPr>
        <w:t xml:space="preserve">del (Smith 2008, Chauvel &amp; </w:t>
      </w:r>
      <w:proofErr w:type="spellStart"/>
      <w:r w:rsidR="002807C9">
        <w:rPr>
          <w:rFonts w:asciiTheme="minorHAnsi" w:hAnsiTheme="minorHAnsi" w:cstheme="minorHAnsi"/>
          <w:lang w:val="en-US"/>
        </w:rPr>
        <w:t>Schrö</w:t>
      </w:r>
      <w:r w:rsidR="00427A70">
        <w:rPr>
          <w:rFonts w:asciiTheme="minorHAnsi" w:hAnsiTheme="minorHAnsi" w:cstheme="minorHAnsi"/>
          <w:lang w:val="en-US"/>
        </w:rPr>
        <w:t>der</w:t>
      </w:r>
      <w:proofErr w:type="spellEnd"/>
      <w:r w:rsidR="00427A70">
        <w:rPr>
          <w:rFonts w:asciiTheme="minorHAnsi" w:hAnsiTheme="minorHAnsi" w:cstheme="minorHAnsi"/>
          <w:lang w:val="en-US"/>
        </w:rPr>
        <w:t xml:space="preserve"> 2014</w:t>
      </w:r>
      <w:r w:rsidRPr="007C0F6B">
        <w:rPr>
          <w:rFonts w:asciiTheme="minorHAnsi" w:hAnsiTheme="minorHAnsi" w:cstheme="minorHAnsi"/>
          <w:lang w:val="en-US"/>
        </w:rPr>
        <w:t>).</w:t>
      </w:r>
    </w:p>
    <w:p w14:paraId="7212A679" w14:textId="6F12E9D9" w:rsidR="002807C9" w:rsidRPr="002807C9" w:rsidRDefault="00A0075B" w:rsidP="00E233B9">
      <w:pPr>
        <w:spacing w:line="480" w:lineRule="auto"/>
        <w:jc w:val="both"/>
        <w:rPr>
          <w:rFonts w:asciiTheme="minorHAnsi" w:hAnsiTheme="minorHAnsi" w:cstheme="minorHAnsi"/>
          <w:lang w:val="en-US"/>
        </w:rPr>
      </w:pPr>
      <w:r>
        <w:rPr>
          <w:rFonts w:asciiTheme="minorHAnsi" w:hAnsiTheme="minorHAnsi" w:cstheme="minorHAnsi"/>
          <w:lang w:val="en-US"/>
        </w:rPr>
        <w:t>In a first step</w:t>
      </w:r>
      <w:r w:rsidR="00614D87" w:rsidRPr="00E233B9">
        <w:rPr>
          <w:rFonts w:asciiTheme="minorHAnsi" w:hAnsiTheme="minorHAnsi" w:cstheme="minorHAnsi"/>
          <w:lang w:val="en-US"/>
        </w:rPr>
        <w:t xml:space="preserve">, we apply the </w:t>
      </w:r>
      <w:proofErr w:type="spellStart"/>
      <w:r w:rsidR="00793DFD" w:rsidRPr="00E233B9">
        <w:rPr>
          <w:rFonts w:asciiTheme="minorHAnsi" w:hAnsiTheme="minorHAnsi" w:cstheme="minorHAnsi"/>
          <w:b/>
          <w:lang w:val="en-US"/>
        </w:rPr>
        <w:t>APCT</w:t>
      </w:r>
      <w:r w:rsidR="00614D87" w:rsidRPr="00E233B9">
        <w:rPr>
          <w:rFonts w:asciiTheme="minorHAnsi" w:hAnsiTheme="minorHAnsi" w:cstheme="minorHAnsi"/>
          <w:b/>
          <w:lang w:val="en-US"/>
        </w:rPr>
        <w:t>lag</w:t>
      </w:r>
      <w:proofErr w:type="spellEnd"/>
      <w:r w:rsidR="00614D87" w:rsidRPr="00E233B9">
        <w:rPr>
          <w:rFonts w:asciiTheme="minorHAnsi" w:hAnsiTheme="minorHAnsi" w:cstheme="minorHAnsi"/>
          <w:lang w:val="en-US"/>
        </w:rPr>
        <w:t xml:space="preserve"> </w:t>
      </w:r>
      <w:r>
        <w:rPr>
          <w:rFonts w:asciiTheme="minorHAnsi" w:hAnsiTheme="minorHAnsi" w:cstheme="minorHAnsi"/>
          <w:lang w:val="en-US"/>
        </w:rPr>
        <w:t>(</w:t>
      </w:r>
      <w:r w:rsidRPr="002807C9">
        <w:rPr>
          <w:rFonts w:asciiTheme="minorHAnsi" w:hAnsiTheme="minorHAnsi" w:cstheme="minorHAnsi"/>
          <w:lang w:val="en-US"/>
        </w:rPr>
        <w:t>Age-Period-Cohort-Trended Lag</w:t>
      </w:r>
      <w:r>
        <w:rPr>
          <w:rFonts w:asciiTheme="minorHAnsi" w:hAnsiTheme="minorHAnsi" w:cstheme="minorHAnsi"/>
          <w:lang w:val="en-US"/>
        </w:rPr>
        <w:t xml:space="preserve">) </w:t>
      </w:r>
      <w:r w:rsidR="00614D87" w:rsidRPr="00E233B9">
        <w:rPr>
          <w:rFonts w:asciiTheme="minorHAnsi" w:hAnsiTheme="minorHAnsi" w:cstheme="minorHAnsi"/>
          <w:lang w:val="en-US"/>
        </w:rPr>
        <w:t>method to estimate the group specific cohort trends</w:t>
      </w:r>
      <w:r>
        <w:rPr>
          <w:rFonts w:asciiTheme="minorHAnsi" w:hAnsiTheme="minorHAnsi" w:cstheme="minorHAnsi"/>
          <w:lang w:val="en-US"/>
        </w:rPr>
        <w:t xml:space="preserve"> </w:t>
      </w:r>
      <w:r w:rsidRPr="002807C9">
        <w:rPr>
          <w:rFonts w:asciiTheme="minorHAnsi" w:hAnsiTheme="minorHAnsi" w:cstheme="minorHAnsi"/>
          <w:lang w:val="en-US"/>
        </w:rPr>
        <w:t>(</w:t>
      </w:r>
      <w:r>
        <w:rPr>
          <w:rFonts w:asciiTheme="minorHAnsi" w:hAnsiTheme="minorHAnsi" w:cstheme="minorHAnsi"/>
          <w:lang w:val="en-US"/>
        </w:rPr>
        <w:t>Chau</w:t>
      </w:r>
      <w:r w:rsidRPr="002807C9">
        <w:rPr>
          <w:rFonts w:asciiTheme="minorHAnsi" w:hAnsiTheme="minorHAnsi" w:cstheme="minorHAnsi"/>
          <w:lang w:val="en-US"/>
        </w:rPr>
        <w:t xml:space="preserve">vel, </w:t>
      </w:r>
      <w:proofErr w:type="spellStart"/>
      <w:r w:rsidRPr="002807C9">
        <w:rPr>
          <w:rFonts w:asciiTheme="minorHAnsi" w:hAnsiTheme="minorHAnsi" w:cstheme="minorHAnsi"/>
          <w:lang w:val="en-US"/>
        </w:rPr>
        <w:t>Leist</w:t>
      </w:r>
      <w:proofErr w:type="spellEnd"/>
      <w:r w:rsidRPr="002807C9">
        <w:rPr>
          <w:rFonts w:asciiTheme="minorHAnsi" w:hAnsiTheme="minorHAnsi" w:cstheme="minorHAnsi"/>
          <w:lang w:val="en-US"/>
        </w:rPr>
        <w:t xml:space="preserve"> &amp; </w:t>
      </w:r>
      <w:proofErr w:type="spellStart"/>
      <w:r w:rsidRPr="002807C9">
        <w:rPr>
          <w:rFonts w:asciiTheme="minorHAnsi" w:hAnsiTheme="minorHAnsi" w:cstheme="minorHAnsi"/>
          <w:lang w:val="en-US"/>
        </w:rPr>
        <w:t>Ponomarenko</w:t>
      </w:r>
      <w:proofErr w:type="spellEnd"/>
      <w:r w:rsidRPr="002807C9">
        <w:rPr>
          <w:rFonts w:asciiTheme="minorHAnsi" w:hAnsiTheme="minorHAnsi" w:cstheme="minorHAnsi"/>
          <w:lang w:val="en-US"/>
        </w:rPr>
        <w:t xml:space="preserve"> 2016)</w:t>
      </w:r>
      <w:r w:rsidR="00614D87" w:rsidRPr="00E233B9">
        <w:rPr>
          <w:rFonts w:asciiTheme="minorHAnsi" w:hAnsiTheme="minorHAnsi" w:cstheme="minorHAnsi"/>
          <w:lang w:val="en-US"/>
        </w:rPr>
        <w:t xml:space="preserve">. </w:t>
      </w:r>
      <w:r w:rsidR="002807C9" w:rsidRPr="002807C9">
        <w:rPr>
          <w:rFonts w:asciiTheme="minorHAnsi" w:hAnsiTheme="minorHAnsi" w:cstheme="minorHAnsi"/>
          <w:lang w:val="en-US"/>
        </w:rPr>
        <w:t xml:space="preserve">Since we are most interested in identifying cohort trends, we constrain the age linear trend to equate to the average within-cohort age effect across the cohorts in the observation window. Further, we impose a slope zero on period but do not need a constraint on the cohort vector anymore to make the model identifiable. In this </w:t>
      </w:r>
      <w:proofErr w:type="spellStart"/>
      <w:r w:rsidR="002807C9" w:rsidRPr="002807C9">
        <w:rPr>
          <w:rFonts w:asciiTheme="minorHAnsi" w:hAnsiTheme="minorHAnsi" w:cstheme="minorHAnsi"/>
          <w:lang w:val="en-US"/>
        </w:rPr>
        <w:t>APCT</w:t>
      </w:r>
      <w:r w:rsidR="002807C9">
        <w:rPr>
          <w:rFonts w:asciiTheme="minorHAnsi" w:hAnsiTheme="minorHAnsi" w:cstheme="minorHAnsi"/>
          <w:lang w:val="en-US"/>
        </w:rPr>
        <w:t>lag</w:t>
      </w:r>
      <w:proofErr w:type="spellEnd"/>
      <w:r w:rsidR="002807C9" w:rsidRPr="002807C9">
        <w:rPr>
          <w:rFonts w:asciiTheme="minorHAnsi" w:hAnsiTheme="minorHAnsi" w:cstheme="minorHAnsi"/>
          <w:lang w:val="en-US"/>
        </w:rPr>
        <w:t xml:space="preserve"> model</w:t>
      </w:r>
      <w:proofErr w:type="gramStart"/>
      <w:r w:rsidR="002807C9" w:rsidRPr="002807C9">
        <w:rPr>
          <w:rFonts w:asciiTheme="minorHAnsi" w:hAnsiTheme="minorHAnsi" w:cstheme="minorHAnsi"/>
          <w:lang w:val="en-US"/>
        </w:rPr>
        <w:t>,  the</w:t>
      </w:r>
      <w:proofErr w:type="gramEnd"/>
      <w:r w:rsidR="002807C9" w:rsidRPr="002807C9">
        <w:rPr>
          <w:rFonts w:asciiTheme="minorHAnsi" w:hAnsiTheme="minorHAnsi" w:cstheme="minorHAnsi"/>
          <w:lang w:val="en-US"/>
        </w:rPr>
        <w:t xml:space="preserve"> cohort vector will absorb the general linear trend of social change and make </w:t>
      </w:r>
      <w:r w:rsidR="002807C9" w:rsidRPr="002807C9">
        <w:rPr>
          <w:rFonts w:asciiTheme="minorHAnsi" w:hAnsiTheme="minorHAnsi" w:cstheme="minorHAnsi"/>
          <w:i/>
          <w:lang w:val="en-US"/>
        </w:rPr>
        <w:t xml:space="preserve">relative </w:t>
      </w:r>
      <w:r w:rsidR="002807C9" w:rsidRPr="002807C9">
        <w:rPr>
          <w:rFonts w:asciiTheme="minorHAnsi" w:hAnsiTheme="minorHAnsi" w:cstheme="minorHAnsi"/>
          <w:lang w:val="en-US"/>
        </w:rPr>
        <w:t>changes in economic returns to education visible. The mod</w:t>
      </w:r>
      <w:r w:rsidR="002807C9">
        <w:rPr>
          <w:rFonts w:asciiTheme="minorHAnsi" w:hAnsiTheme="minorHAnsi" w:cstheme="minorHAnsi"/>
          <w:lang w:val="en-US"/>
        </w:rPr>
        <w:t>el is formalized in equation 2</w:t>
      </w:r>
      <w:r w:rsidR="002807C9" w:rsidRPr="002807C9">
        <w:rPr>
          <w:rFonts w:asciiTheme="minorHAnsi" w:hAnsiTheme="minorHAnsi" w:cstheme="minorHAnsi"/>
          <w:lang w:val="en-US"/>
        </w:rPr>
        <w:t>:</w:t>
      </w:r>
    </w:p>
    <w:p w14:paraId="440821FC" w14:textId="7766C4A1" w:rsidR="002807C9" w:rsidRPr="002807C9" w:rsidRDefault="006428B7" w:rsidP="00E233B9">
      <w:pPr>
        <w:spacing w:line="480" w:lineRule="auto"/>
        <w:jc w:val="center"/>
        <w:rPr>
          <w:rFonts w:asciiTheme="minorHAnsi" w:hAnsiTheme="minorHAnsi" w:cstheme="minorHAnsi"/>
          <w:lang w:val="en-US"/>
        </w:rPr>
      </w:pPr>
      <m:oMath>
        <m:d>
          <m:dPr>
            <m:begChr m:val="{"/>
            <m:endChr m:val=""/>
            <m:ctrlPr>
              <w:rPr>
                <w:rFonts w:ascii="Cambria Math" w:hAnsi="Cambria Math" w:cstheme="minorHAnsi"/>
                <w:i/>
                <w:lang w:val="en-US"/>
              </w:rPr>
            </m:ctrlPr>
          </m:dPr>
          <m:e>
            <m:eqArr>
              <m:eqArrPr>
                <m:ctrlPr>
                  <w:rPr>
                    <w:rFonts w:ascii="Cambria Math" w:hAnsi="Cambria Math" w:cstheme="minorHAnsi"/>
                    <w:i/>
                    <w:lang w:val="en-US"/>
                  </w:rPr>
                </m:ctrlPr>
              </m:eqArrPr>
              <m:e>
                <m:sSup>
                  <m:sSupPr>
                    <m:ctrlPr>
                      <w:rPr>
                        <w:rFonts w:ascii="Cambria Math" w:hAnsi="Cambria Math" w:cstheme="minorHAnsi"/>
                        <w:i/>
                        <w:lang w:val="en-US"/>
                      </w:rPr>
                    </m:ctrlPr>
                  </m:sSupPr>
                  <m:e>
                    <m:r>
                      <w:rPr>
                        <w:rFonts w:ascii="Cambria Math" w:hAnsi="Cambria Math" w:cstheme="minorHAnsi"/>
                        <w:lang w:val="en-US"/>
                      </w:rPr>
                      <m:t>y</m:t>
                    </m:r>
                  </m:e>
                  <m:sup>
                    <m:r>
                      <w:rPr>
                        <w:rFonts w:ascii="Cambria Math" w:hAnsi="Cambria Math" w:cstheme="minorHAnsi"/>
                        <w:lang w:val="en-US"/>
                      </w:rPr>
                      <m:t>apc</m:t>
                    </m:r>
                  </m:sup>
                </m:sSup>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α</m:t>
                    </m:r>
                  </m:e>
                  <m:sub>
                    <m:r>
                      <w:rPr>
                        <w:rFonts w:ascii="Cambria Math" w:hAnsi="Cambria Math" w:cstheme="minorHAnsi"/>
                        <w:lang w:val="en-US"/>
                      </w:rPr>
                      <m:t>a</m:t>
                    </m:r>
                  </m:sub>
                </m:sSub>
                <m:r>
                  <w:rPr>
                    <w:rFonts w:ascii="Cambria Math" w:hAnsi="Cambria Math" w:cstheme="minorHAnsi"/>
                    <w:lang w:val="en-US"/>
                  </w:rPr>
                  <m:t>+π</m:t>
                </m:r>
                <m:sSub>
                  <m:sSubPr>
                    <m:ctrlPr>
                      <w:rPr>
                        <w:rFonts w:ascii="Cambria Math" w:hAnsi="Cambria Math" w:cstheme="minorHAnsi"/>
                        <w:i/>
                        <w:lang w:val="en-US"/>
                      </w:rPr>
                    </m:ctrlPr>
                  </m:sSubPr>
                  <m:e>
                    <m:r>
                      <m:rPr>
                        <m:sty m:val="p"/>
                      </m:rPr>
                      <w:rPr>
                        <w:rFonts w:ascii="Cambria Math" w:hAnsi="Cambria Math" w:cstheme="minorHAnsi"/>
                        <w:lang w:val="en-US"/>
                      </w:rPr>
                      <w:softHyphen/>
                    </m:r>
                  </m:e>
                  <m:sub>
                    <m:r>
                      <w:rPr>
                        <w:rFonts w:ascii="Cambria Math" w:hAnsi="Cambria Math" w:cstheme="minorHAnsi"/>
                        <w:lang w:val="en-US"/>
                      </w:rPr>
                      <m:t>p</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γ</m:t>
                    </m:r>
                  </m:e>
                  <m:sub>
                    <m:r>
                      <w:rPr>
                        <w:rFonts w:ascii="Cambria Math" w:hAnsi="Cambria Math" w:cstheme="minorHAnsi"/>
                        <w:lang w:val="en-US"/>
                      </w:rPr>
                      <m:t>c</m:t>
                    </m:r>
                  </m:sub>
                </m:sSub>
                <m:r>
                  <w:rPr>
                    <w:rFonts w:ascii="Cambria Math" w:hAnsi="Cambria Math" w:cstheme="minorHAnsi"/>
                    <w:lang w:val="en-US"/>
                  </w:rPr>
                  <m:t>++</m:t>
                </m:r>
                <m:sSub>
                  <m:sSubPr>
                    <m:ctrlPr>
                      <w:rPr>
                        <w:rFonts w:ascii="Cambria Math" w:hAnsi="Cambria Math" w:cstheme="minorHAnsi"/>
                        <w:i/>
                        <w:lang w:val="en-US"/>
                      </w:rPr>
                    </m:ctrlPr>
                  </m:sSubPr>
                  <m:e>
                    <m:r>
                      <w:rPr>
                        <w:rFonts w:ascii="Cambria Math" w:hAnsi="Cambria Math" w:cstheme="minorHAnsi"/>
                        <w:lang w:val="en-US"/>
                      </w:rPr>
                      <m:t>ε</m:t>
                    </m:r>
                  </m:e>
                  <m:sub>
                    <m:r>
                      <w:rPr>
                        <w:rFonts w:ascii="Cambria Math" w:hAnsi="Cambria Math" w:cstheme="minorHAnsi"/>
                        <w:lang w:val="en-US"/>
                      </w:rPr>
                      <m:t>i</m:t>
                    </m:r>
                  </m:sub>
                </m:sSub>
              </m:e>
              <m:e>
                <m:d>
                  <m:dPr>
                    <m:begChr m:val="{"/>
                    <m:endChr m:val=""/>
                    <m:ctrlPr>
                      <w:rPr>
                        <w:rFonts w:ascii="Cambria Math" w:hAnsi="Cambria Math" w:cstheme="minorHAnsi"/>
                        <w:i/>
                        <w:lang w:val="en-US"/>
                      </w:rPr>
                    </m:ctrlPr>
                  </m:dPr>
                  <m:e>
                    <m:eqArr>
                      <m:eqArrPr>
                        <m:ctrlPr>
                          <w:rPr>
                            <w:rFonts w:ascii="Cambria Math" w:hAnsi="Cambria Math" w:cstheme="minorHAnsi"/>
                            <w:i/>
                            <w:lang w:val="en-US"/>
                          </w:rPr>
                        </m:ctrlPr>
                      </m:eqArrPr>
                      <m:e>
                        <m:nary>
                          <m:naryPr>
                            <m:chr m:val="∑"/>
                            <m:limLoc m:val="undOvr"/>
                            <m:subHide m:val="1"/>
                            <m:supHide m:val="1"/>
                            <m:ctrlPr>
                              <w:rPr>
                                <w:rFonts w:ascii="Cambria Math" w:hAnsi="Cambria Math" w:cstheme="minorHAnsi"/>
                                <w:i/>
                                <w:lang w:val="en-US"/>
                              </w:rPr>
                            </m:ctrlPr>
                          </m:naryPr>
                          <m:sub/>
                          <m:sup/>
                          <m:e>
                            <m:sSub>
                              <m:sSubPr>
                                <m:ctrlPr>
                                  <w:rPr>
                                    <w:rFonts w:ascii="Cambria Math" w:hAnsi="Cambria Math" w:cstheme="minorHAnsi"/>
                                    <w:i/>
                                    <w:lang w:val="en-US"/>
                                  </w:rPr>
                                </m:ctrlPr>
                              </m:sSubPr>
                              <m:e>
                                <m:r>
                                  <w:rPr>
                                    <w:rFonts w:ascii="Cambria Math" w:hAnsi="Cambria Math" w:cstheme="minorHAnsi"/>
                                    <w:lang w:val="en-US"/>
                                  </w:rPr>
                                  <m:t>α</m:t>
                                </m:r>
                              </m:e>
                              <m:sub>
                                <m:r>
                                  <w:rPr>
                                    <w:rFonts w:ascii="Cambria Math" w:hAnsi="Cambria Math" w:cstheme="minorHAnsi"/>
                                    <w:lang w:val="en-US"/>
                                  </w:rPr>
                                  <m:t>a</m:t>
                                </m:r>
                              </m:sub>
                            </m:sSub>
                            <m:r>
                              <w:rPr>
                                <w:rFonts w:ascii="Cambria Math" w:hAnsi="Cambria Math" w:cstheme="minorHAnsi"/>
                                <w:lang w:val="en-US"/>
                              </w:rPr>
                              <m:t>=</m:t>
                            </m:r>
                            <m:nary>
                              <m:naryPr>
                                <m:chr m:val="∑"/>
                                <m:limLoc m:val="undOvr"/>
                                <m:subHide m:val="1"/>
                                <m:supHide m:val="1"/>
                                <m:ctrlPr>
                                  <w:rPr>
                                    <w:rFonts w:ascii="Cambria Math" w:hAnsi="Cambria Math" w:cstheme="minorHAnsi"/>
                                    <w:i/>
                                    <w:lang w:val="en-US"/>
                                  </w:rPr>
                                </m:ctrlPr>
                              </m:naryPr>
                              <m:sub/>
                              <m:sup/>
                              <m:e>
                                <m:sSub>
                                  <m:sSubPr>
                                    <m:ctrlPr>
                                      <w:rPr>
                                        <w:rFonts w:ascii="Cambria Math" w:hAnsi="Cambria Math" w:cstheme="minorHAnsi"/>
                                        <w:i/>
                                        <w:lang w:val="en-US"/>
                                      </w:rPr>
                                    </m:ctrlPr>
                                  </m:sSubPr>
                                  <m:e>
                                    <m:r>
                                      <w:rPr>
                                        <w:rFonts w:ascii="Cambria Math" w:hAnsi="Cambria Math" w:cstheme="minorHAnsi"/>
                                        <w:lang w:val="en-US"/>
                                      </w:rPr>
                                      <m:t>π</m:t>
                                    </m:r>
                                  </m:e>
                                  <m:sub>
                                    <m:r>
                                      <w:rPr>
                                        <w:rFonts w:ascii="Cambria Math" w:hAnsi="Cambria Math" w:cstheme="minorHAnsi"/>
                                        <w:lang w:val="en-US"/>
                                      </w:rPr>
                                      <m:t>p</m:t>
                                    </m:r>
                                  </m:sub>
                                </m:sSub>
                              </m:e>
                            </m:nary>
                          </m:e>
                        </m:nary>
                        <m:r>
                          <w:rPr>
                            <w:rFonts w:ascii="Cambria Math" w:hAnsi="Cambria Math" w:cstheme="minorHAnsi"/>
                            <w:lang w:val="en-US"/>
                          </w:rPr>
                          <m:t>=0</m:t>
                        </m:r>
                      </m:e>
                      <m:e>
                        <m:r>
                          <w:rPr>
                            <w:rFonts w:ascii="Cambria Math" w:hAnsi="Cambria Math" w:cstheme="minorHAnsi"/>
                            <w:lang w:val="en-US"/>
                          </w:rPr>
                          <m:t>Slope</m:t>
                        </m:r>
                        <m:d>
                          <m:dPr>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π</m:t>
                                </m:r>
                              </m:e>
                              <m:sub>
                                <m:r>
                                  <w:rPr>
                                    <w:rFonts w:ascii="Cambria Math" w:hAnsi="Cambria Math" w:cstheme="minorHAnsi"/>
                                    <w:lang w:val="en-US"/>
                                  </w:rPr>
                                  <m:t>p</m:t>
                                </m:r>
                              </m:sub>
                            </m:sSub>
                          </m:e>
                        </m:d>
                        <m:r>
                          <w:rPr>
                            <w:rFonts w:ascii="Cambria Math" w:hAnsi="Cambria Math" w:cstheme="minorHAnsi"/>
                            <w:lang w:val="en-US"/>
                          </w:rPr>
                          <m:t>=0</m:t>
                        </m:r>
                      </m:e>
                      <m:e>
                        <m:r>
                          <w:rPr>
                            <w:rFonts w:ascii="Cambria Math" w:hAnsi="Cambria Math" w:cstheme="minorHAnsi"/>
                            <w:lang w:val="en-US"/>
                          </w:rPr>
                          <m:t>Slope</m:t>
                        </m:r>
                        <m:d>
                          <m:dPr>
                            <m:ctrlPr>
                              <w:rPr>
                                <w:rFonts w:ascii="Cambria Math" w:hAnsi="Cambria Math" w:cstheme="minorHAnsi"/>
                                <w:i/>
                                <w:lang w:val="en-US"/>
                              </w:rPr>
                            </m:ctrlPr>
                          </m:dPr>
                          <m:e>
                            <m:sSub>
                              <m:sSubPr>
                                <m:ctrlPr>
                                  <w:rPr>
                                    <w:rFonts w:ascii="Cambria Math" w:hAnsi="Cambria Math" w:cstheme="minorHAnsi"/>
                                    <w:i/>
                                    <w:lang w:val="en-US"/>
                                  </w:rPr>
                                </m:ctrlPr>
                              </m:sSubPr>
                              <m:e>
                                <m:r>
                                  <w:rPr>
                                    <w:rFonts w:ascii="Cambria Math" w:hAnsi="Cambria Math" w:cstheme="minorHAnsi"/>
                                    <w:lang w:val="en-US"/>
                                  </w:rPr>
                                  <m:t>α</m:t>
                                </m:r>
                              </m:e>
                              <m:sub>
                                <m:r>
                                  <w:rPr>
                                    <w:rFonts w:ascii="Cambria Math" w:hAnsi="Cambria Math" w:cstheme="minorHAnsi"/>
                                    <w:lang w:val="en-US"/>
                                  </w:rPr>
                                  <m:t>a</m:t>
                                </m:r>
                              </m:sub>
                            </m:sSub>
                          </m:e>
                        </m:d>
                        <m:r>
                          <w:rPr>
                            <w:rFonts w:ascii="Cambria Math" w:hAnsi="Cambria Math" w:cstheme="minorHAnsi"/>
                            <w:lang w:val="en-US"/>
                          </w:rPr>
                          <m:t>=</m:t>
                        </m:r>
                        <m:r>
                          <m:rPr>
                            <m:sty m:val="p"/>
                          </m:rPr>
                          <w:rPr>
                            <w:rFonts w:ascii="Cambria Math" w:hAnsi="Cambria Math" w:cstheme="minorHAnsi"/>
                            <w:lang w:val="en-US"/>
                          </w:rPr>
                          <m:t xml:space="preserve"> </m:t>
                        </m:r>
                        <m:f>
                          <m:fPr>
                            <m:ctrlPr>
                              <w:rPr>
                                <w:rFonts w:ascii="Cambria Math" w:hAnsi="Cambria Math" w:cstheme="minorHAnsi"/>
                                <w:lang w:val="en-US"/>
                              </w:rPr>
                            </m:ctrlPr>
                          </m:fPr>
                          <m:num>
                            <m:r>
                              <m:rPr>
                                <m:sty m:val="p"/>
                              </m:rPr>
                              <w:rPr>
                                <w:rFonts w:ascii="Cambria Math" w:hAnsi="Cambria Math" w:cstheme="minorHAnsi"/>
                                <w:lang w:val="en-US"/>
                              </w:rPr>
                              <m:t>∑ (</m:t>
                            </m:r>
                            <m:sSub>
                              <m:sSubPr>
                                <m:ctrlPr>
                                  <w:rPr>
                                    <w:rFonts w:ascii="Cambria Math" w:hAnsi="Cambria Math" w:cstheme="minorHAnsi"/>
                                    <w:lang w:val="en-US"/>
                                  </w:rPr>
                                </m:ctrlPr>
                              </m:sSubPr>
                              <m:e>
                                <m:r>
                                  <w:rPr>
                                    <w:rFonts w:ascii="Cambria Math" w:hAnsi="Cambria Math" w:cstheme="minorHAnsi"/>
                                    <w:lang w:val="en-US"/>
                                  </w:rPr>
                                  <m:t>y</m:t>
                                </m:r>
                              </m:e>
                              <m:sub>
                                <m:r>
                                  <m:rPr>
                                    <m:sty m:val="p"/>
                                  </m:rPr>
                                  <w:rPr>
                                    <w:rFonts w:ascii="Cambria Math" w:hAnsi="Cambria Math" w:cstheme="minorHAnsi"/>
                                    <w:lang w:val="en-US"/>
                                  </w:rPr>
                                  <m:t>a+1, p+1,c</m:t>
                                </m:r>
                              </m:sub>
                            </m:sSub>
                            <m:r>
                              <m:rPr>
                                <m:sty m:val="p"/>
                              </m:rPr>
                              <w:rPr>
                                <w:rFonts w:ascii="Cambria Math" w:hAnsi="Cambria Math" w:cstheme="minorHAnsi"/>
                                <w:lang w:val="en-US"/>
                              </w:rPr>
                              <m:t xml:space="preserve"> - </m:t>
                            </m:r>
                            <m:sSub>
                              <m:sSubPr>
                                <m:ctrlPr>
                                  <w:rPr>
                                    <w:rFonts w:ascii="Cambria Math" w:hAnsi="Cambria Math" w:cstheme="minorHAnsi"/>
                                    <w:lang w:val="en-US"/>
                                  </w:rPr>
                                </m:ctrlPr>
                              </m:sSubPr>
                              <m:e>
                                <m:r>
                                  <w:rPr>
                                    <w:rFonts w:ascii="Cambria Math" w:hAnsi="Cambria Math" w:cstheme="minorHAnsi"/>
                                    <w:lang w:val="en-US"/>
                                  </w:rPr>
                                  <m:t>y</m:t>
                                </m:r>
                              </m:e>
                              <m:sub>
                                <m:r>
                                  <m:rPr>
                                    <m:sty m:val="p"/>
                                  </m:rPr>
                                  <w:rPr>
                                    <w:rFonts w:ascii="Cambria Math" w:hAnsi="Cambria Math" w:cstheme="minorHAnsi"/>
                                    <w:lang w:val="en-US"/>
                                  </w:rPr>
                                  <m:t>a,p,c</m:t>
                                </m:r>
                              </m:sub>
                            </m:sSub>
                            <m:r>
                              <m:rPr>
                                <m:sty m:val="p"/>
                              </m:rPr>
                              <w:rPr>
                                <w:rFonts w:ascii="Cambria Math" w:hAnsi="Cambria Math" w:cstheme="minorHAnsi"/>
                                <w:lang w:val="en-US"/>
                              </w:rPr>
                              <m:t>)</m:t>
                            </m:r>
                          </m:num>
                          <m:den>
                            <m:d>
                              <m:dPr>
                                <m:ctrlPr>
                                  <w:rPr>
                                    <w:rFonts w:ascii="Cambria Math" w:hAnsi="Cambria Math" w:cstheme="minorHAnsi"/>
                                    <w:lang w:val="en-US"/>
                                  </w:rPr>
                                </m:ctrlPr>
                              </m:dPr>
                              <m:e>
                                <m:r>
                                  <m:rPr>
                                    <m:sty m:val="p"/>
                                  </m:rPr>
                                  <w:rPr>
                                    <w:rFonts w:ascii="Cambria Math" w:hAnsi="Cambria Math" w:cstheme="minorHAnsi"/>
                                    <w:lang w:val="en-US"/>
                                  </w:rPr>
                                  <m:t>p-1</m:t>
                                </m:r>
                              </m:e>
                            </m:d>
                            <m:d>
                              <m:dPr>
                                <m:ctrlPr>
                                  <w:rPr>
                                    <w:rFonts w:ascii="Cambria Math" w:hAnsi="Cambria Math" w:cstheme="minorHAnsi"/>
                                    <w:lang w:val="en-US"/>
                                  </w:rPr>
                                </m:ctrlPr>
                              </m:dPr>
                              <m:e>
                                <m:r>
                                  <m:rPr>
                                    <m:sty m:val="p"/>
                                  </m:rPr>
                                  <w:rPr>
                                    <w:rFonts w:ascii="Cambria Math" w:hAnsi="Cambria Math" w:cstheme="minorHAnsi"/>
                                    <w:lang w:val="en-US"/>
                                  </w:rPr>
                                  <m:t>a-1</m:t>
                                </m:r>
                              </m:e>
                            </m:d>
                          </m:den>
                        </m:f>
                        <m:r>
                          <m:rPr>
                            <m:sty m:val="p"/>
                          </m:rPr>
                          <w:rPr>
                            <w:rFonts w:ascii="Cambria Math" w:hAnsi="Cambria Math" w:cstheme="minorHAnsi"/>
                            <w:lang w:val="en-US"/>
                          </w:rPr>
                          <m:t xml:space="preserve">  </m:t>
                        </m:r>
                      </m:e>
                      <m:e>
                        <m:func>
                          <m:funcPr>
                            <m:ctrlPr>
                              <w:rPr>
                                <w:rFonts w:ascii="Cambria Math" w:hAnsi="Cambria Math" w:cstheme="minorHAnsi"/>
                                <w:lang w:val="en-US"/>
                              </w:rPr>
                            </m:ctrlPr>
                          </m:funcPr>
                          <m:fName>
                            <m:r>
                              <m:rPr>
                                <m:sty m:val="p"/>
                              </m:rPr>
                              <w:rPr>
                                <w:rFonts w:ascii="Cambria Math" w:hAnsi="Cambria Math" w:cstheme="minorHAnsi"/>
                                <w:lang w:val="en-US"/>
                              </w:rPr>
                              <m:t>min</m:t>
                            </m:r>
                          </m:fName>
                          <m:e>
                            <m:d>
                              <m:dPr>
                                <m:ctrlPr>
                                  <w:rPr>
                                    <w:rFonts w:ascii="Cambria Math" w:hAnsi="Cambria Math" w:cstheme="minorHAnsi"/>
                                    <w:i/>
                                    <w:lang w:val="en-US"/>
                                  </w:rPr>
                                </m:ctrlPr>
                              </m:dPr>
                              <m:e>
                                <m:r>
                                  <w:rPr>
                                    <w:rFonts w:ascii="Cambria Math" w:hAnsi="Cambria Math" w:cstheme="minorHAnsi"/>
                                    <w:lang w:val="en-US"/>
                                  </w:rPr>
                                  <m:t>c</m:t>
                                </m:r>
                              </m:e>
                            </m:d>
                          </m:e>
                        </m:func>
                        <m:r>
                          <w:rPr>
                            <w:rFonts w:ascii="Cambria Math" w:hAnsi="Cambria Math" w:cstheme="minorHAnsi"/>
                            <w:lang w:val="en-US"/>
                          </w:rPr>
                          <m:t>&lt;c&lt;</m:t>
                        </m:r>
                        <m:r>
                          <m:rPr>
                            <m:sty m:val="p"/>
                          </m:rPr>
                          <w:rPr>
                            <w:rFonts w:ascii="Cambria Math" w:hAnsi="Cambria Math" w:cstheme="minorHAnsi"/>
                            <w:lang w:val="en-US"/>
                          </w:rPr>
                          <m:t>max⁡</m:t>
                        </m:r>
                        <m:r>
                          <w:rPr>
                            <w:rFonts w:ascii="Cambria Math" w:hAnsi="Cambria Math" w:cstheme="minorHAnsi"/>
                            <w:lang w:val="en-US"/>
                          </w:rPr>
                          <m:t>(c)</m:t>
                        </m:r>
                      </m:e>
                    </m:eqArr>
                  </m:e>
                </m:d>
              </m:e>
            </m:eqArr>
          </m:e>
        </m:d>
      </m:oMath>
      <w:r w:rsidR="002807C9">
        <w:rPr>
          <w:rFonts w:asciiTheme="minorHAnsi" w:eastAsiaTheme="minorEastAsia" w:hAnsiTheme="minorHAnsi" w:cstheme="minorHAnsi"/>
          <w:lang w:val="en-US"/>
        </w:rPr>
        <w:tab/>
        <w:t>(2)</w:t>
      </w:r>
    </w:p>
    <w:p w14:paraId="0AFCA6D2" w14:textId="1818ABF0" w:rsidR="002807C9" w:rsidRPr="002807C9" w:rsidRDefault="002807C9" w:rsidP="00E233B9">
      <w:pPr>
        <w:spacing w:line="480" w:lineRule="auto"/>
        <w:jc w:val="both"/>
        <w:rPr>
          <w:rFonts w:asciiTheme="minorHAnsi" w:hAnsiTheme="minorHAnsi" w:cstheme="minorHAnsi"/>
          <w:lang w:val="en-US"/>
        </w:rPr>
      </w:pPr>
      <w:proofErr w:type="gramStart"/>
      <w:r w:rsidRPr="002807C9">
        <w:rPr>
          <w:rFonts w:asciiTheme="minorHAnsi" w:hAnsiTheme="minorHAnsi" w:cstheme="minorHAnsi"/>
          <w:lang w:val="en-US"/>
        </w:rPr>
        <w:t>β</w:t>
      </w:r>
      <w:r w:rsidRPr="002807C9">
        <w:rPr>
          <w:rFonts w:asciiTheme="minorHAnsi" w:hAnsiTheme="minorHAnsi" w:cstheme="minorHAnsi"/>
          <w:vertAlign w:val="subscript"/>
          <w:lang w:val="en-US"/>
        </w:rPr>
        <w:t>0</w:t>
      </w:r>
      <w:proofErr w:type="gramEnd"/>
      <w:r w:rsidRPr="002807C9">
        <w:rPr>
          <w:rFonts w:asciiTheme="minorHAnsi" w:hAnsiTheme="minorHAnsi" w:cstheme="minorHAnsi"/>
          <w:vertAlign w:val="subscript"/>
          <w:lang w:val="en-US"/>
        </w:rPr>
        <w:t xml:space="preserve"> </w:t>
      </w:r>
      <w:r w:rsidRPr="002807C9">
        <w:rPr>
          <w:rFonts w:asciiTheme="minorHAnsi" w:hAnsiTheme="minorHAnsi" w:cstheme="minorHAnsi"/>
          <w:lang w:val="en-US"/>
        </w:rPr>
        <w:t xml:space="preserve">denotes the constant, </w:t>
      </w:r>
      <m:oMath>
        <m:sSub>
          <m:sSubPr>
            <m:ctrlPr>
              <w:rPr>
                <w:rFonts w:ascii="Cambria Math" w:hAnsi="Cambria Math" w:cstheme="minorHAnsi"/>
                <w:i/>
                <w:lang w:val="en-US"/>
              </w:rPr>
            </m:ctrlPr>
          </m:sSubPr>
          <m:e>
            <m:r>
              <w:rPr>
                <w:rFonts w:ascii="Cambria Math" w:hAnsi="Cambria Math" w:cstheme="minorHAnsi"/>
                <w:lang w:val="en-US"/>
              </w:rPr>
              <m:t>α</m:t>
            </m:r>
          </m:e>
          <m:sub>
            <m:r>
              <w:rPr>
                <w:rFonts w:ascii="Cambria Math" w:hAnsi="Cambria Math" w:cstheme="minorHAnsi"/>
                <w:lang w:val="en-US"/>
              </w:rPr>
              <m:t>a</m:t>
            </m:r>
          </m:sub>
        </m:sSub>
      </m:oMath>
      <w:r w:rsidRPr="002807C9">
        <w:rPr>
          <w:rFonts w:asciiTheme="minorHAnsi" w:hAnsiTheme="minorHAnsi" w:cstheme="minorHAnsi"/>
          <w:lang w:val="en-US"/>
        </w:rPr>
        <w:t xml:space="preserve"> is the age effect vector, </w:t>
      </w:r>
      <m:oMath>
        <m:sSub>
          <m:sSubPr>
            <m:ctrlPr>
              <w:rPr>
                <w:rFonts w:ascii="Cambria Math" w:hAnsi="Cambria Math" w:cstheme="minorHAnsi"/>
                <w:i/>
                <w:lang w:val="en-US"/>
              </w:rPr>
            </m:ctrlPr>
          </m:sSubPr>
          <m:e>
            <m:r>
              <w:rPr>
                <w:rFonts w:ascii="Cambria Math" w:hAnsi="Cambria Math" w:cstheme="minorHAnsi"/>
                <w:lang w:val="en-US"/>
              </w:rPr>
              <m:t>π</m:t>
            </m:r>
          </m:e>
          <m:sub>
            <m:r>
              <w:rPr>
                <w:rFonts w:ascii="Cambria Math" w:hAnsi="Cambria Math" w:cstheme="minorHAnsi"/>
                <w:lang w:val="en-US"/>
              </w:rPr>
              <m:t>p</m:t>
            </m:r>
          </m:sub>
        </m:sSub>
      </m:oMath>
      <w:r w:rsidRPr="002807C9">
        <w:rPr>
          <w:rFonts w:asciiTheme="minorHAnsi" w:hAnsiTheme="minorHAnsi" w:cstheme="minorHAnsi"/>
          <w:lang w:val="en-US"/>
        </w:rPr>
        <w:t xml:space="preserve"> is the period effect vector, and </w:t>
      </w:r>
      <m:oMath>
        <m:sSub>
          <m:sSubPr>
            <m:ctrlPr>
              <w:rPr>
                <w:rFonts w:ascii="Cambria Math" w:hAnsi="Cambria Math" w:cstheme="minorHAnsi"/>
                <w:i/>
                <w:lang w:val="en-US"/>
              </w:rPr>
            </m:ctrlPr>
          </m:sSubPr>
          <m:e>
            <m:r>
              <w:rPr>
                <w:rFonts w:ascii="Cambria Math" w:hAnsi="Cambria Math" w:cstheme="minorHAnsi"/>
                <w:lang w:val="en-US"/>
              </w:rPr>
              <m:t>γ</m:t>
            </m:r>
          </m:e>
          <m:sub>
            <m:r>
              <w:rPr>
                <w:rFonts w:ascii="Cambria Math" w:hAnsi="Cambria Math" w:cstheme="minorHAnsi"/>
                <w:lang w:val="en-US"/>
              </w:rPr>
              <m:t>c</m:t>
            </m:r>
          </m:sub>
        </m:sSub>
      </m:oMath>
      <w:r w:rsidRPr="002807C9">
        <w:rPr>
          <w:rFonts w:asciiTheme="minorHAnsi" w:hAnsiTheme="minorHAnsi" w:cstheme="minorHAnsi"/>
          <w:lang w:val="en-US"/>
        </w:rPr>
        <w:t xml:space="preserve"> is the cohort  effect vector. The constraints set the sum and the slope of each of these vectors to zero. The linear trends in age and cohort (and also period) are absorbed by </w:t>
      </w:r>
      <w:proofErr w:type="gramStart"/>
      <w:r w:rsidRPr="002807C9">
        <w:rPr>
          <w:rFonts w:asciiTheme="minorHAnsi" w:hAnsiTheme="minorHAnsi" w:cstheme="minorHAnsi"/>
          <w:lang w:val="en-US"/>
        </w:rPr>
        <w:t>Rescale(</w:t>
      </w:r>
      <w:proofErr w:type="gramEnd"/>
      <w:r w:rsidRPr="002807C9">
        <w:rPr>
          <w:rFonts w:asciiTheme="minorHAnsi" w:hAnsiTheme="minorHAnsi" w:cstheme="minorHAnsi"/>
          <w:lang w:val="en-US"/>
        </w:rPr>
        <w:t xml:space="preserve">a) and Rescale(c) that are transformations of </w:t>
      </w:r>
      <m:oMath>
        <m:sSub>
          <m:sSubPr>
            <m:ctrlPr>
              <w:rPr>
                <w:rFonts w:ascii="Cambria Math" w:hAnsi="Cambria Math" w:cstheme="minorHAnsi"/>
                <w:i/>
                <w:lang w:val="en-US"/>
              </w:rPr>
            </m:ctrlPr>
          </m:sSubPr>
          <m:e>
            <m:r>
              <w:rPr>
                <w:rFonts w:ascii="Cambria Math" w:hAnsi="Cambria Math" w:cstheme="minorHAnsi"/>
                <w:lang w:val="en-US"/>
              </w:rPr>
              <m:t>α</m:t>
            </m:r>
          </m:e>
          <m:sub>
            <m:r>
              <w:rPr>
                <w:rFonts w:ascii="Cambria Math" w:hAnsi="Cambria Math" w:cstheme="minorHAnsi"/>
                <w:lang w:val="en-US"/>
              </w:rPr>
              <m:t>a</m:t>
            </m:r>
          </m:sub>
        </m:sSub>
      </m:oMath>
      <w:r w:rsidRPr="002807C9">
        <w:rPr>
          <w:rFonts w:asciiTheme="minorHAnsi" w:hAnsiTheme="minorHAnsi" w:cstheme="minorHAnsi"/>
          <w:lang w:val="en-US"/>
        </w:rPr>
        <w:t xml:space="preserve"> and </w:t>
      </w:r>
      <m:oMath>
        <m:sSub>
          <m:sSubPr>
            <m:ctrlPr>
              <w:rPr>
                <w:rFonts w:ascii="Cambria Math" w:hAnsi="Cambria Math" w:cstheme="minorHAnsi"/>
                <w:i/>
                <w:lang w:val="en-US"/>
              </w:rPr>
            </m:ctrlPr>
          </m:sSubPr>
          <m:e>
            <m:r>
              <w:rPr>
                <w:rFonts w:ascii="Cambria Math" w:hAnsi="Cambria Math" w:cstheme="minorHAnsi"/>
                <w:lang w:val="en-US"/>
              </w:rPr>
              <m:t>γ</m:t>
            </m:r>
          </m:e>
          <m:sub>
            <m:r>
              <w:rPr>
                <w:rFonts w:ascii="Cambria Math" w:hAnsi="Cambria Math" w:cstheme="minorHAnsi"/>
                <w:lang w:val="en-US"/>
              </w:rPr>
              <m:t>c</m:t>
            </m:r>
          </m:sub>
        </m:sSub>
      </m:oMath>
      <w:r w:rsidRPr="002807C9">
        <w:rPr>
          <w:rFonts w:asciiTheme="minorHAnsi" w:hAnsiTheme="minorHAnsi" w:cstheme="minorHAnsi"/>
          <w:lang w:val="en-US"/>
        </w:rPr>
        <w:t xml:space="preserve"> from the initial values of a and c into a range between -1 and +1. Lastly, the oldest and youngest cohorts (which only appear once in the Lexis table) need to be omitted from the analysis.</w:t>
      </w:r>
    </w:p>
    <w:p w14:paraId="0B492598" w14:textId="296CFE17" w:rsidR="002807C9" w:rsidRPr="002807C9" w:rsidRDefault="002807C9" w:rsidP="00E233B9">
      <w:pPr>
        <w:spacing w:line="480" w:lineRule="auto"/>
        <w:jc w:val="both"/>
        <w:rPr>
          <w:rFonts w:asciiTheme="minorHAnsi" w:hAnsiTheme="minorHAnsi" w:cstheme="minorHAnsi"/>
          <w:lang w:val="en-US"/>
        </w:rPr>
      </w:pPr>
      <w:r w:rsidRPr="002807C9">
        <w:rPr>
          <w:rFonts w:asciiTheme="minorHAnsi" w:hAnsiTheme="minorHAnsi" w:cstheme="minorHAnsi"/>
          <w:lang w:val="en-US"/>
        </w:rPr>
        <w:t>The constraints mean that the sum of the age and period vectors is zero and the period linear trend is zero. In the APCTLAG, the cohort coefficients will</w:t>
      </w:r>
      <w:r w:rsidR="00A0075B">
        <w:rPr>
          <w:rFonts w:asciiTheme="minorHAnsi" w:hAnsiTheme="minorHAnsi" w:cstheme="minorHAnsi"/>
          <w:lang w:val="en-US"/>
        </w:rPr>
        <w:t xml:space="preserve"> also</w:t>
      </w:r>
      <w:r w:rsidRPr="002807C9">
        <w:rPr>
          <w:rFonts w:asciiTheme="minorHAnsi" w:hAnsiTheme="minorHAnsi" w:cstheme="minorHAnsi"/>
          <w:lang w:val="en-US"/>
        </w:rPr>
        <w:t xml:space="preserve"> include the constant and the linear trend, on top of the non-linear deviation patterns. The constraint on age linear trend requires that we have at least three consecutive cohor</w:t>
      </w:r>
      <w:r>
        <w:rPr>
          <w:rFonts w:asciiTheme="minorHAnsi" w:hAnsiTheme="minorHAnsi" w:cstheme="minorHAnsi"/>
          <w:lang w:val="en-US"/>
        </w:rPr>
        <w:t>ts, as reflected in equation 2</w:t>
      </w:r>
      <w:r w:rsidRPr="002807C9">
        <w:rPr>
          <w:rFonts w:asciiTheme="minorHAnsi" w:hAnsiTheme="minorHAnsi" w:cstheme="minorHAnsi"/>
          <w:lang w:val="en-US"/>
        </w:rPr>
        <w:t>.</w:t>
      </w:r>
    </w:p>
    <w:p w14:paraId="6BCFA988" w14:textId="3718BFF2" w:rsidR="00F758E7" w:rsidRPr="00E233B9" w:rsidRDefault="00614D87" w:rsidP="00E233B9">
      <w:pPr>
        <w:spacing w:line="480" w:lineRule="auto"/>
        <w:jc w:val="both"/>
        <w:rPr>
          <w:rFonts w:asciiTheme="minorHAnsi" w:hAnsiTheme="minorHAnsi" w:cstheme="minorHAnsi"/>
          <w:lang w:val="en-US"/>
        </w:rPr>
      </w:pPr>
      <w:r w:rsidRPr="00E233B9">
        <w:rPr>
          <w:rFonts w:asciiTheme="minorHAnsi" w:hAnsiTheme="minorHAnsi" w:cstheme="minorHAnsi"/>
          <w:lang w:val="en-US"/>
        </w:rPr>
        <w:t xml:space="preserve">To </w:t>
      </w:r>
      <w:proofErr w:type="spellStart"/>
      <w:r w:rsidRPr="00E233B9">
        <w:rPr>
          <w:rFonts w:asciiTheme="minorHAnsi" w:hAnsiTheme="minorHAnsi" w:cstheme="minorHAnsi"/>
          <w:lang w:val="en-US"/>
        </w:rPr>
        <w:t>analyse</w:t>
      </w:r>
      <w:proofErr w:type="spellEnd"/>
      <w:r w:rsidRPr="00E233B9">
        <w:rPr>
          <w:rFonts w:asciiTheme="minorHAnsi" w:hAnsiTheme="minorHAnsi" w:cstheme="minorHAnsi"/>
          <w:lang w:val="en-US"/>
        </w:rPr>
        <w:t xml:space="preserve"> the gap between population groups, second, w</w:t>
      </w:r>
      <w:r w:rsidR="00063FD2" w:rsidRPr="00E233B9">
        <w:rPr>
          <w:rFonts w:asciiTheme="minorHAnsi" w:hAnsiTheme="minorHAnsi" w:cstheme="minorHAnsi"/>
          <w:lang w:val="en-US"/>
        </w:rPr>
        <w:t xml:space="preserve">e </w:t>
      </w:r>
      <w:r w:rsidRPr="00E233B9">
        <w:rPr>
          <w:rFonts w:asciiTheme="minorHAnsi" w:hAnsiTheme="minorHAnsi" w:cstheme="minorHAnsi"/>
          <w:lang w:val="en-US"/>
        </w:rPr>
        <w:t>make use of</w:t>
      </w:r>
      <w:r w:rsidR="00063FD2" w:rsidRPr="00E233B9">
        <w:rPr>
          <w:rFonts w:asciiTheme="minorHAnsi" w:hAnsiTheme="minorHAnsi" w:cstheme="minorHAnsi"/>
          <w:lang w:val="en-US"/>
        </w:rPr>
        <w:t xml:space="preserve"> </w:t>
      </w:r>
      <w:r w:rsidR="001018F6" w:rsidRPr="00E233B9">
        <w:rPr>
          <w:rFonts w:asciiTheme="minorHAnsi" w:hAnsiTheme="minorHAnsi" w:cstheme="minorHAnsi"/>
          <w:lang w:val="en-US"/>
        </w:rPr>
        <w:t xml:space="preserve">a new method </w:t>
      </w:r>
      <w:r w:rsidR="001018F6" w:rsidRPr="00E233B9">
        <w:rPr>
          <w:rFonts w:asciiTheme="minorHAnsi" w:hAnsiTheme="minorHAnsi" w:cstheme="minorHAnsi"/>
          <w:b/>
          <w:lang w:val="en-US"/>
        </w:rPr>
        <w:t>APC</w:t>
      </w:r>
      <w:r w:rsidR="00136EBB" w:rsidRPr="00E233B9">
        <w:rPr>
          <w:rFonts w:asciiTheme="minorHAnsi" w:hAnsiTheme="minorHAnsi" w:cstheme="minorHAnsi"/>
          <w:b/>
          <w:lang w:val="en-US"/>
        </w:rPr>
        <w:t>-</w:t>
      </w:r>
      <w:r w:rsidR="001018F6" w:rsidRPr="00E233B9">
        <w:rPr>
          <w:rFonts w:asciiTheme="minorHAnsi" w:hAnsiTheme="minorHAnsi" w:cstheme="minorHAnsi"/>
          <w:b/>
          <w:lang w:val="en-US"/>
        </w:rPr>
        <w:t>GO</w:t>
      </w:r>
      <w:r w:rsidR="001018F6" w:rsidRPr="00E233B9">
        <w:rPr>
          <w:rFonts w:asciiTheme="minorHAnsi" w:hAnsiTheme="minorHAnsi" w:cstheme="minorHAnsi"/>
          <w:lang w:val="en-US"/>
        </w:rPr>
        <w:t xml:space="preserve"> </w:t>
      </w:r>
      <w:r w:rsidR="003703C7" w:rsidRPr="00E233B9">
        <w:rPr>
          <w:rFonts w:asciiTheme="minorHAnsi" w:hAnsiTheme="minorHAnsi" w:cstheme="minorHAnsi"/>
          <w:lang w:val="en-US"/>
        </w:rPr>
        <w:t>A</w:t>
      </w:r>
      <w:r w:rsidR="00063FD2" w:rsidRPr="00E233B9">
        <w:rPr>
          <w:rFonts w:asciiTheme="minorHAnsi" w:hAnsiTheme="minorHAnsi" w:cstheme="minorHAnsi"/>
          <w:lang w:val="en-US"/>
        </w:rPr>
        <w:t>ge-</w:t>
      </w:r>
      <w:r w:rsidR="003703C7" w:rsidRPr="00E233B9">
        <w:rPr>
          <w:rFonts w:asciiTheme="minorHAnsi" w:hAnsiTheme="minorHAnsi" w:cstheme="minorHAnsi"/>
          <w:lang w:val="en-US"/>
        </w:rPr>
        <w:t>P</w:t>
      </w:r>
      <w:r w:rsidR="00063FD2" w:rsidRPr="00E233B9">
        <w:rPr>
          <w:rFonts w:asciiTheme="minorHAnsi" w:hAnsiTheme="minorHAnsi" w:cstheme="minorHAnsi"/>
          <w:lang w:val="en-US"/>
        </w:rPr>
        <w:t>eriod-</w:t>
      </w:r>
      <w:r w:rsidR="003703C7" w:rsidRPr="00E233B9">
        <w:rPr>
          <w:rFonts w:asciiTheme="minorHAnsi" w:hAnsiTheme="minorHAnsi" w:cstheme="minorHAnsi"/>
          <w:lang w:val="en-US"/>
        </w:rPr>
        <w:t>C</w:t>
      </w:r>
      <w:r w:rsidR="00063FD2" w:rsidRPr="00E233B9">
        <w:rPr>
          <w:rFonts w:asciiTheme="minorHAnsi" w:hAnsiTheme="minorHAnsi" w:cstheme="minorHAnsi"/>
          <w:lang w:val="en-US"/>
        </w:rPr>
        <w:t>ohort</w:t>
      </w:r>
      <w:r w:rsidR="001018F6" w:rsidRPr="00E233B9">
        <w:rPr>
          <w:rFonts w:asciiTheme="minorHAnsi" w:hAnsiTheme="minorHAnsi" w:cstheme="minorHAnsi"/>
          <w:lang w:val="en-US"/>
        </w:rPr>
        <w:t>-Gap-Oaxaca (</w:t>
      </w:r>
      <w:r w:rsidR="00207431" w:rsidRPr="00E233B9">
        <w:rPr>
          <w:rFonts w:asciiTheme="minorHAnsi" w:hAnsiTheme="minorHAnsi" w:cstheme="minorHAnsi"/>
          <w:lang w:val="en-US"/>
        </w:rPr>
        <w:t>S</w:t>
      </w:r>
      <w:r w:rsidR="001018F6" w:rsidRPr="00E233B9">
        <w:rPr>
          <w:rFonts w:asciiTheme="minorHAnsi" w:hAnsiTheme="minorHAnsi" w:cstheme="minorHAnsi"/>
          <w:lang w:val="en-US"/>
        </w:rPr>
        <w:t>tata</w:t>
      </w:r>
      <w:r w:rsidR="00207431" w:rsidRPr="00E233B9">
        <w:rPr>
          <w:rFonts w:asciiTheme="minorHAnsi" w:hAnsiTheme="minorHAnsi" w:cstheme="minorHAnsi"/>
          <w:vertAlign w:val="superscript"/>
          <w:lang w:val="en-US"/>
        </w:rPr>
        <w:t>®</w:t>
      </w:r>
      <w:r w:rsidR="001018F6" w:rsidRPr="00E233B9">
        <w:rPr>
          <w:rFonts w:asciiTheme="minorHAnsi" w:hAnsiTheme="minorHAnsi" w:cstheme="minorHAnsi"/>
          <w:lang w:val="en-US"/>
        </w:rPr>
        <w:t xml:space="preserve">: </w:t>
      </w:r>
      <w:proofErr w:type="spellStart"/>
      <w:r w:rsidR="001018F6" w:rsidRPr="00E233B9">
        <w:rPr>
          <w:rFonts w:asciiTheme="minorHAnsi" w:hAnsiTheme="minorHAnsi" w:cstheme="minorHAnsi"/>
          <w:lang w:val="en-US"/>
        </w:rPr>
        <w:t>ssc</w:t>
      </w:r>
      <w:proofErr w:type="spellEnd"/>
      <w:r w:rsidR="001018F6" w:rsidRPr="00E233B9">
        <w:rPr>
          <w:rFonts w:asciiTheme="minorHAnsi" w:hAnsiTheme="minorHAnsi" w:cstheme="minorHAnsi"/>
          <w:lang w:val="en-US"/>
        </w:rPr>
        <w:t xml:space="preserve"> install </w:t>
      </w:r>
      <w:proofErr w:type="spellStart"/>
      <w:r w:rsidR="001018F6" w:rsidRPr="00E233B9">
        <w:rPr>
          <w:rFonts w:asciiTheme="minorHAnsi" w:hAnsiTheme="minorHAnsi" w:cstheme="minorHAnsi"/>
          <w:lang w:val="en-US"/>
        </w:rPr>
        <w:t>apcgo</w:t>
      </w:r>
      <w:proofErr w:type="spellEnd"/>
      <w:r w:rsidR="001659FE" w:rsidRPr="00E233B9">
        <w:rPr>
          <w:rFonts w:asciiTheme="minorHAnsi" w:hAnsiTheme="minorHAnsi" w:cstheme="minorHAnsi"/>
          <w:lang w:val="en-US"/>
        </w:rPr>
        <w:t>, Chauvel et al. 2017</w:t>
      </w:r>
      <w:r w:rsidR="001018F6" w:rsidRPr="00E233B9">
        <w:rPr>
          <w:rFonts w:asciiTheme="minorHAnsi" w:hAnsiTheme="minorHAnsi" w:cstheme="minorHAnsi"/>
          <w:lang w:val="en-US"/>
        </w:rPr>
        <w:t>) based on the established Age-Period-Cohort</w:t>
      </w:r>
      <w:r w:rsidR="00063FD2" w:rsidRPr="00E233B9">
        <w:rPr>
          <w:rFonts w:asciiTheme="minorHAnsi" w:hAnsiTheme="minorHAnsi" w:cstheme="minorHAnsi"/>
          <w:lang w:val="en-US"/>
        </w:rPr>
        <w:t>-</w:t>
      </w:r>
      <w:proofErr w:type="spellStart"/>
      <w:r w:rsidR="00063FD2" w:rsidRPr="00E233B9">
        <w:rPr>
          <w:rFonts w:asciiTheme="minorHAnsi" w:hAnsiTheme="minorHAnsi" w:cstheme="minorHAnsi"/>
          <w:lang w:val="en-US"/>
        </w:rPr>
        <w:t>Detrended</w:t>
      </w:r>
      <w:proofErr w:type="spellEnd"/>
      <w:r w:rsidR="00063FD2" w:rsidRPr="00E233B9">
        <w:rPr>
          <w:rFonts w:asciiTheme="minorHAnsi" w:hAnsiTheme="minorHAnsi" w:cstheme="minorHAnsi"/>
          <w:lang w:val="en-US"/>
        </w:rPr>
        <w:t xml:space="preserve"> </w:t>
      </w:r>
      <w:r w:rsidR="008925FB" w:rsidRPr="00E233B9">
        <w:rPr>
          <w:rFonts w:asciiTheme="minorHAnsi" w:hAnsiTheme="minorHAnsi" w:cstheme="minorHAnsi"/>
          <w:lang w:val="en-US"/>
        </w:rPr>
        <w:t xml:space="preserve">(APCD) </w:t>
      </w:r>
      <w:r w:rsidR="00063FD2" w:rsidRPr="00E233B9">
        <w:rPr>
          <w:rFonts w:asciiTheme="minorHAnsi" w:hAnsiTheme="minorHAnsi" w:cstheme="minorHAnsi"/>
          <w:lang w:val="en-US"/>
        </w:rPr>
        <w:t>methodology</w:t>
      </w:r>
      <w:r w:rsidR="00F758E7" w:rsidRPr="00E233B9">
        <w:rPr>
          <w:rFonts w:asciiTheme="minorHAnsi" w:hAnsiTheme="minorHAnsi" w:cstheme="minorHAnsi"/>
          <w:lang w:val="en-US"/>
        </w:rPr>
        <w:t xml:space="preserve"> (Chauvel and </w:t>
      </w:r>
      <w:proofErr w:type="spellStart"/>
      <w:r w:rsidR="00F758E7" w:rsidRPr="00E233B9">
        <w:rPr>
          <w:rFonts w:asciiTheme="minorHAnsi" w:hAnsiTheme="minorHAnsi" w:cstheme="minorHAnsi"/>
          <w:lang w:val="en-US"/>
        </w:rPr>
        <w:t>Schröder</w:t>
      </w:r>
      <w:proofErr w:type="spellEnd"/>
      <w:r w:rsidR="00F758E7" w:rsidRPr="00E233B9">
        <w:rPr>
          <w:rFonts w:asciiTheme="minorHAnsi" w:hAnsiTheme="minorHAnsi" w:cstheme="minorHAnsi"/>
          <w:lang w:val="en-US"/>
        </w:rPr>
        <w:t xml:space="preserve"> 2014). </w:t>
      </w:r>
      <w:r w:rsidR="001018F6" w:rsidRPr="00E233B9">
        <w:rPr>
          <w:rFonts w:asciiTheme="minorHAnsi" w:hAnsiTheme="minorHAnsi" w:cstheme="minorHAnsi"/>
          <w:lang w:val="en-US"/>
        </w:rPr>
        <w:t xml:space="preserve">This model estimates the net birth-cohort indexed gap in a response variable by controlling age and period characteristics along with </w:t>
      </w:r>
      <w:r w:rsidR="00207431" w:rsidRPr="00E233B9">
        <w:rPr>
          <w:rFonts w:asciiTheme="minorHAnsi" w:hAnsiTheme="minorHAnsi" w:cstheme="minorHAnsi"/>
          <w:lang w:val="en-US"/>
        </w:rPr>
        <w:t xml:space="preserve">relevant control </w:t>
      </w:r>
      <w:r w:rsidR="001018F6" w:rsidRPr="00E233B9">
        <w:rPr>
          <w:rFonts w:asciiTheme="minorHAnsi" w:hAnsiTheme="minorHAnsi" w:cstheme="minorHAnsi"/>
          <w:lang w:val="en-US"/>
        </w:rPr>
        <w:t>variables (labor participation etc.)</w:t>
      </w:r>
      <w:r w:rsidR="00207431" w:rsidRPr="00E233B9">
        <w:rPr>
          <w:rFonts w:asciiTheme="minorHAnsi" w:hAnsiTheme="minorHAnsi" w:cstheme="minorHAnsi"/>
          <w:lang w:val="en-US"/>
        </w:rPr>
        <w:t>.</w:t>
      </w:r>
      <w:r w:rsidR="00D82E91" w:rsidRPr="00E233B9">
        <w:rPr>
          <w:rFonts w:asciiTheme="minorHAnsi" w:hAnsiTheme="minorHAnsi" w:cstheme="minorHAnsi"/>
          <w:lang w:val="en-US"/>
        </w:rPr>
        <w:t xml:space="preserve"> </w:t>
      </w:r>
    </w:p>
    <w:p w14:paraId="6ED752D8" w14:textId="5BA32622" w:rsidR="00504FB6" w:rsidRPr="00E233B9" w:rsidRDefault="00504FB6" w:rsidP="00E233B9">
      <w:pPr>
        <w:spacing w:line="480" w:lineRule="auto"/>
        <w:jc w:val="both"/>
        <w:rPr>
          <w:rFonts w:asciiTheme="minorHAnsi" w:hAnsiTheme="minorHAnsi" w:cstheme="minorHAnsi"/>
        </w:rPr>
      </w:pPr>
      <w:r w:rsidRPr="00E233B9">
        <w:rPr>
          <w:rFonts w:asciiTheme="minorHAnsi" w:hAnsiTheme="minorHAnsi" w:cstheme="minorHAnsi"/>
        </w:rPr>
        <w:t>The purpose of the Age-Period-Cohort Gap/Oaxaca model (APC-GO) is to measure the change across birth cohorts</w:t>
      </w:r>
      <w:r w:rsidRPr="00E233B9" w:rsidDel="00281163">
        <w:rPr>
          <w:rFonts w:asciiTheme="minorHAnsi" w:hAnsiTheme="minorHAnsi" w:cstheme="minorHAnsi"/>
        </w:rPr>
        <w:t xml:space="preserve"> </w:t>
      </w:r>
      <w:r w:rsidRPr="00E233B9">
        <w:rPr>
          <w:rFonts w:asciiTheme="minorHAnsi" w:hAnsiTheme="minorHAnsi" w:cstheme="minorHAnsi"/>
        </w:rPr>
        <w:t xml:space="preserve">in the gap in a dependent variable </w:t>
      </w:r>
      <w:r w:rsidRPr="00E233B9">
        <w:rPr>
          <w:rFonts w:asciiTheme="minorHAnsi" w:hAnsiTheme="minorHAnsi" w:cstheme="minorHAnsi"/>
          <w:i/>
        </w:rPr>
        <w:t>y</w:t>
      </w:r>
      <w:r w:rsidRPr="00E233B9">
        <w:rPr>
          <w:rFonts w:asciiTheme="minorHAnsi" w:hAnsiTheme="minorHAnsi" w:cstheme="minorHAnsi"/>
        </w:rPr>
        <w:t xml:space="preserve"> (e.g., wage) between two groups (e.g., gender).  Data fitted to APC-GO are structured as a Lexis table, i.e. an </w:t>
      </w:r>
      <w:r w:rsidRPr="00E233B9">
        <w:rPr>
          <w:rFonts w:asciiTheme="minorHAnsi" w:hAnsiTheme="minorHAnsi" w:cstheme="minorHAnsi"/>
          <w:i/>
        </w:rPr>
        <w:t>age</w:t>
      </w:r>
      <w:r w:rsidRPr="00E233B9">
        <w:rPr>
          <w:rFonts w:asciiTheme="minorHAnsi" w:hAnsiTheme="minorHAnsi" w:cstheme="minorHAnsi"/>
        </w:rPr>
        <w:t xml:space="preserve"> by </w:t>
      </w:r>
      <w:r w:rsidRPr="00E233B9">
        <w:rPr>
          <w:rFonts w:asciiTheme="minorHAnsi" w:hAnsiTheme="minorHAnsi" w:cstheme="minorHAnsi"/>
          <w:i/>
        </w:rPr>
        <w:t>period</w:t>
      </w:r>
      <w:r w:rsidRPr="00E233B9">
        <w:rPr>
          <w:rFonts w:asciiTheme="minorHAnsi" w:hAnsiTheme="minorHAnsi" w:cstheme="minorHAnsi"/>
        </w:rPr>
        <w:t xml:space="preserve"> table of (cross-sectional) data with a constant pace in age and in period (e.g., five-year age groups measured each fifth year). Each cell of the </w:t>
      </w:r>
      <w:r w:rsidRPr="00E233B9">
        <w:rPr>
          <w:rFonts w:asciiTheme="minorHAnsi" w:hAnsiTheme="minorHAnsi" w:cstheme="minorHAnsi"/>
        </w:rPr>
        <w:lastRenderedPageBreak/>
        <w:t xml:space="preserve">Lexis table is indexed by its age </w:t>
      </w:r>
      <w:proofErr w:type="gramStart"/>
      <w:r w:rsidRPr="00E233B9">
        <w:rPr>
          <w:rFonts w:asciiTheme="minorHAnsi" w:hAnsiTheme="minorHAnsi" w:cstheme="minorHAnsi"/>
          <w:i/>
        </w:rPr>
        <w:t>a</w:t>
      </w:r>
      <w:r w:rsidRPr="00E233B9">
        <w:rPr>
          <w:rFonts w:asciiTheme="minorHAnsi" w:hAnsiTheme="minorHAnsi" w:cstheme="minorHAnsi"/>
        </w:rPr>
        <w:t xml:space="preserve"> and</w:t>
      </w:r>
      <w:proofErr w:type="gramEnd"/>
      <w:r w:rsidRPr="00E233B9">
        <w:rPr>
          <w:rFonts w:asciiTheme="minorHAnsi" w:hAnsiTheme="minorHAnsi" w:cstheme="minorHAnsi"/>
        </w:rPr>
        <w:t xml:space="preserve"> a period </w:t>
      </w:r>
      <w:r w:rsidRPr="00E233B9">
        <w:rPr>
          <w:rFonts w:asciiTheme="minorHAnsi" w:hAnsiTheme="minorHAnsi" w:cstheme="minorHAnsi"/>
          <w:i/>
        </w:rPr>
        <w:t>p</w:t>
      </w:r>
      <w:r w:rsidRPr="00E233B9">
        <w:rPr>
          <w:rFonts w:asciiTheme="minorHAnsi" w:hAnsiTheme="minorHAnsi" w:cstheme="minorHAnsi"/>
        </w:rPr>
        <w:t xml:space="preserve"> and then pertain to cohorts </w:t>
      </w:r>
      <w:r w:rsidRPr="00E233B9">
        <w:rPr>
          <w:rFonts w:asciiTheme="minorHAnsi" w:hAnsiTheme="minorHAnsi" w:cstheme="minorHAnsi"/>
          <w:i/>
        </w:rPr>
        <w:t>c =</w:t>
      </w:r>
      <w:r w:rsidRPr="00E233B9">
        <w:rPr>
          <w:rFonts w:asciiTheme="minorHAnsi" w:hAnsiTheme="minorHAnsi" w:cstheme="minorHAnsi"/>
        </w:rPr>
        <w:t xml:space="preserve"> </w:t>
      </w:r>
      <w:r w:rsidRPr="00E233B9">
        <w:rPr>
          <w:rFonts w:asciiTheme="minorHAnsi" w:hAnsiTheme="minorHAnsi" w:cstheme="minorHAnsi"/>
          <w:i/>
        </w:rPr>
        <w:t>p - a</w:t>
      </w:r>
      <w:r w:rsidRPr="00E233B9">
        <w:rPr>
          <w:rFonts w:asciiTheme="minorHAnsi" w:hAnsiTheme="minorHAnsi" w:cstheme="minorHAnsi"/>
        </w:rPr>
        <w:t xml:space="preserve">. Then, we apply a two-step method: </w:t>
      </w:r>
    </w:p>
    <w:p w14:paraId="55922BD1" w14:textId="77777777" w:rsidR="00504FB6" w:rsidRPr="00E233B9" w:rsidRDefault="00504FB6" w:rsidP="00E233B9">
      <w:pPr>
        <w:numPr>
          <w:ilvl w:val="0"/>
          <w:numId w:val="3"/>
        </w:numPr>
        <w:spacing w:line="480" w:lineRule="auto"/>
        <w:jc w:val="both"/>
        <w:rPr>
          <w:rFonts w:asciiTheme="minorHAnsi" w:hAnsiTheme="minorHAnsi" w:cstheme="minorHAnsi"/>
        </w:rPr>
      </w:pPr>
      <w:r w:rsidRPr="00E233B9">
        <w:rPr>
          <w:rFonts w:asciiTheme="minorHAnsi" w:hAnsiTheme="minorHAnsi" w:cstheme="minorHAnsi"/>
        </w:rPr>
        <w:t xml:space="preserve">First, we compute a matrix </w:t>
      </w:r>
      <w:proofErr w:type="spellStart"/>
      <w:r w:rsidRPr="00E233B9">
        <w:rPr>
          <w:rFonts w:asciiTheme="minorHAnsi" w:hAnsiTheme="minorHAnsi" w:cstheme="minorHAnsi"/>
          <w:i/>
        </w:rPr>
        <w:t>u</w:t>
      </w:r>
      <w:r w:rsidRPr="00E233B9">
        <w:rPr>
          <w:rFonts w:asciiTheme="minorHAnsi" w:hAnsiTheme="minorHAnsi" w:cstheme="minorHAnsi"/>
          <w:i/>
          <w:vertAlign w:val="subscript"/>
        </w:rPr>
        <w:t>apc</w:t>
      </w:r>
      <w:proofErr w:type="spellEnd"/>
      <w:r w:rsidRPr="00E233B9">
        <w:rPr>
          <w:rFonts w:asciiTheme="minorHAnsi" w:hAnsiTheme="minorHAnsi" w:cstheme="minorHAnsi"/>
        </w:rPr>
        <w:t xml:space="preserve"> of ‘unexplained’ (and total) differences on a base of Oaxaca-Blinder models of </w:t>
      </w:r>
      <w:r w:rsidRPr="00E233B9">
        <w:rPr>
          <w:rFonts w:asciiTheme="minorHAnsi" w:hAnsiTheme="minorHAnsi" w:cstheme="minorHAnsi"/>
          <w:i/>
        </w:rPr>
        <w:t>y</w:t>
      </w:r>
      <w:r w:rsidRPr="00E233B9">
        <w:rPr>
          <w:rFonts w:asciiTheme="minorHAnsi" w:hAnsiTheme="minorHAnsi" w:cstheme="minorHAnsi"/>
        </w:rPr>
        <w:t xml:space="preserve"> including relevant control variables run for each (age by period) cell of the initial Lexis table </w:t>
      </w:r>
      <w:proofErr w:type="spellStart"/>
      <w:r w:rsidRPr="00E233B9">
        <w:rPr>
          <w:rFonts w:asciiTheme="minorHAnsi" w:hAnsiTheme="minorHAnsi" w:cstheme="minorHAnsi"/>
          <w:i/>
        </w:rPr>
        <w:t>y</w:t>
      </w:r>
      <w:r w:rsidRPr="00E233B9">
        <w:rPr>
          <w:rFonts w:asciiTheme="minorHAnsi" w:hAnsiTheme="minorHAnsi" w:cstheme="minorHAnsi"/>
          <w:i/>
          <w:vertAlign w:val="subscript"/>
        </w:rPr>
        <w:t>apc</w:t>
      </w:r>
      <w:proofErr w:type="spellEnd"/>
      <w:r w:rsidRPr="00E233B9">
        <w:rPr>
          <w:rFonts w:asciiTheme="minorHAnsi" w:hAnsiTheme="minorHAnsi" w:cstheme="minorHAnsi"/>
        </w:rPr>
        <w:t xml:space="preserve"> and obtain the ‘Oaxaca Lexis table’ gender wage gap. </w:t>
      </w:r>
    </w:p>
    <w:p w14:paraId="63A7DACC" w14:textId="77777777" w:rsidR="00504FB6" w:rsidRPr="00E233B9" w:rsidRDefault="00504FB6" w:rsidP="00E233B9">
      <w:pPr>
        <w:numPr>
          <w:ilvl w:val="0"/>
          <w:numId w:val="2"/>
        </w:numPr>
        <w:spacing w:line="480" w:lineRule="auto"/>
        <w:jc w:val="both"/>
        <w:rPr>
          <w:rFonts w:asciiTheme="minorHAnsi" w:hAnsiTheme="minorHAnsi" w:cstheme="minorHAnsi"/>
        </w:rPr>
      </w:pPr>
      <w:r w:rsidRPr="00E233B9">
        <w:rPr>
          <w:rFonts w:asciiTheme="minorHAnsi" w:hAnsiTheme="minorHAnsi" w:cstheme="minorHAnsi"/>
        </w:rPr>
        <w:t>To this Oaxaca Lexis table, we apply in a second step a specific trended APC model in order to obtain the trend measure of the cohort-specific, non-explained wage gap, the APCL (lag) coefficient.</w:t>
      </w:r>
    </w:p>
    <w:p w14:paraId="1DE00C69" w14:textId="6A67CD7D" w:rsidR="00504FB6" w:rsidRPr="00E233B9" w:rsidRDefault="00504FB6" w:rsidP="00E233B9">
      <w:pPr>
        <w:spacing w:line="480" w:lineRule="auto"/>
        <w:jc w:val="both"/>
        <w:rPr>
          <w:rFonts w:asciiTheme="minorHAnsi" w:hAnsiTheme="minorHAnsi" w:cstheme="minorHAnsi"/>
        </w:rPr>
      </w:pPr>
      <w:r w:rsidRPr="00E233B9">
        <w:rPr>
          <w:rFonts w:asciiTheme="minorHAnsi" w:hAnsiTheme="minorHAnsi" w:cstheme="minorHAnsi"/>
        </w:rPr>
        <w:t>The complete APC-GO method cannot provide direct estimations for confidence intervals due to its complexity; i.e. succession of Blinder-Oaxaca and APC methods. Therefore, we bootstrap the entire</w:t>
      </w:r>
      <w:r w:rsidR="006E7771" w:rsidRPr="00E233B9">
        <w:rPr>
          <w:rFonts w:asciiTheme="minorHAnsi" w:hAnsiTheme="minorHAnsi" w:cstheme="minorHAnsi"/>
        </w:rPr>
        <w:t xml:space="preserve"> process considered</w:t>
      </w:r>
      <w:r w:rsidRPr="00E233B9">
        <w:rPr>
          <w:rFonts w:asciiTheme="minorHAnsi" w:hAnsiTheme="minorHAnsi" w:cstheme="minorHAnsi"/>
        </w:rPr>
        <w:t xml:space="preserve">. </w:t>
      </w:r>
    </w:p>
    <w:p w14:paraId="641CC150" w14:textId="4AF49FF7" w:rsidR="004E2301" w:rsidRPr="00E233B9" w:rsidRDefault="001018F6" w:rsidP="00E233B9">
      <w:pPr>
        <w:pStyle w:val="Heading1"/>
        <w:spacing w:line="480" w:lineRule="auto"/>
        <w:rPr>
          <w:lang w:val="en-US"/>
        </w:rPr>
      </w:pPr>
      <w:r w:rsidRPr="00E233B9">
        <w:rPr>
          <w:lang w:val="en-US"/>
        </w:rPr>
        <w:t>Data</w:t>
      </w:r>
      <w:r w:rsidR="004E2301" w:rsidRPr="00E233B9">
        <w:rPr>
          <w:lang w:val="en-US"/>
        </w:rPr>
        <w:t xml:space="preserve"> and variables</w:t>
      </w:r>
      <w:r w:rsidRPr="00E233B9">
        <w:rPr>
          <w:lang w:val="en-US"/>
        </w:rPr>
        <w:t xml:space="preserve"> </w:t>
      </w:r>
    </w:p>
    <w:p w14:paraId="2377F9D8" w14:textId="26C6AC7C" w:rsidR="0049658B" w:rsidRDefault="00A205CD" w:rsidP="00E233B9">
      <w:pPr>
        <w:spacing w:line="480" w:lineRule="auto"/>
        <w:jc w:val="both"/>
        <w:rPr>
          <w:rFonts w:ascii="Calibri" w:hAnsi="Calibri" w:cstheme="minorHAnsi"/>
          <w:lang w:val="en-US"/>
        </w:rPr>
      </w:pPr>
      <w:r w:rsidRPr="00E233B9">
        <w:rPr>
          <w:rFonts w:asciiTheme="minorHAnsi" w:hAnsiTheme="minorHAnsi" w:cstheme="minorHAnsi"/>
          <w:lang w:val="en-US"/>
        </w:rPr>
        <w:t>W</w:t>
      </w:r>
      <w:r w:rsidR="007220BD" w:rsidRPr="00E233B9">
        <w:rPr>
          <w:rFonts w:asciiTheme="minorHAnsi" w:hAnsiTheme="minorHAnsi" w:cstheme="minorHAnsi"/>
          <w:lang w:val="en-US"/>
        </w:rPr>
        <w:t xml:space="preserve">e </w:t>
      </w:r>
      <w:r w:rsidR="007220BD" w:rsidRPr="00DA68DF">
        <w:rPr>
          <w:rFonts w:ascii="Calibri" w:hAnsi="Calibri" w:cstheme="minorHAnsi"/>
          <w:lang w:val="en-US"/>
        </w:rPr>
        <w:t>study the US using</w:t>
      </w:r>
      <w:r w:rsidR="00136EBB" w:rsidRPr="00DA68DF">
        <w:rPr>
          <w:rFonts w:ascii="Calibri" w:hAnsi="Calibri" w:cstheme="minorHAnsi"/>
          <w:lang w:val="en-US"/>
        </w:rPr>
        <w:t xml:space="preserve"> the</w:t>
      </w:r>
      <w:r w:rsidR="005D3251" w:rsidRPr="00DA68DF">
        <w:rPr>
          <w:rFonts w:ascii="Calibri" w:hAnsi="Calibri" w:cstheme="minorHAnsi"/>
          <w:lang w:val="en-US"/>
        </w:rPr>
        <w:t xml:space="preserve"> U.S. Censuses extracts, the</w:t>
      </w:r>
      <w:r w:rsidR="00136EBB" w:rsidRPr="00DA68DF">
        <w:rPr>
          <w:rFonts w:ascii="Calibri" w:hAnsi="Calibri" w:cstheme="minorHAnsi"/>
          <w:lang w:val="en-US"/>
        </w:rPr>
        <w:t xml:space="preserve"> Current Population Survey (</w:t>
      </w:r>
      <w:r w:rsidR="001018F6" w:rsidRPr="00DA68DF">
        <w:rPr>
          <w:rFonts w:ascii="Calibri" w:hAnsi="Calibri" w:cstheme="minorHAnsi"/>
          <w:lang w:val="en-US"/>
        </w:rPr>
        <w:t>CPS</w:t>
      </w:r>
      <w:r w:rsidR="00136EBB" w:rsidRPr="00DA68DF">
        <w:rPr>
          <w:rFonts w:ascii="Calibri" w:hAnsi="Calibri" w:cstheme="minorHAnsi"/>
          <w:lang w:val="en-US"/>
        </w:rPr>
        <w:t xml:space="preserve">) </w:t>
      </w:r>
      <w:r w:rsidR="005D3251" w:rsidRPr="00DA68DF">
        <w:rPr>
          <w:rFonts w:ascii="Calibri" w:hAnsi="Calibri" w:cstheme="minorHAnsi"/>
          <w:lang w:val="en-US"/>
        </w:rPr>
        <w:t>[</w:t>
      </w:r>
      <w:r w:rsidR="00B401B8" w:rsidRPr="00DA68DF">
        <w:rPr>
          <w:rFonts w:ascii="Calibri" w:hAnsi="Calibri"/>
        </w:rPr>
        <w:t>IPUMS-USA, IPUMS-CPS, University of Minnesota, www.ipums.org</w:t>
      </w:r>
      <w:r w:rsidR="005D3251" w:rsidRPr="00DA68DF">
        <w:rPr>
          <w:rFonts w:ascii="Calibri" w:hAnsi="Calibri" w:cstheme="minorHAnsi"/>
          <w:lang w:val="en-US"/>
        </w:rPr>
        <w:t>]</w:t>
      </w:r>
      <w:r w:rsidR="00C91095">
        <w:rPr>
          <w:rFonts w:ascii="Calibri" w:hAnsi="Calibri" w:cstheme="minorHAnsi"/>
          <w:lang w:val="en-US"/>
        </w:rPr>
        <w:t xml:space="preserve"> (</w:t>
      </w:r>
      <w:proofErr w:type="spellStart"/>
      <w:r w:rsidR="00C91095">
        <w:rPr>
          <w:rFonts w:ascii="Calibri" w:hAnsi="Calibri" w:cstheme="minorHAnsi"/>
          <w:lang w:val="en-US"/>
        </w:rPr>
        <w:t>Ruggles</w:t>
      </w:r>
      <w:proofErr w:type="spellEnd"/>
      <w:r w:rsidR="00C91095">
        <w:rPr>
          <w:rFonts w:ascii="Calibri" w:hAnsi="Calibri" w:cstheme="minorHAnsi"/>
          <w:lang w:val="en-US"/>
        </w:rPr>
        <w:t xml:space="preserve"> et al. 2017, Flood et al 2017)</w:t>
      </w:r>
      <w:r w:rsidR="005D3251" w:rsidRPr="00DA68DF">
        <w:rPr>
          <w:rFonts w:ascii="Calibri" w:hAnsi="Calibri" w:cstheme="minorHAnsi"/>
          <w:lang w:val="en-US"/>
        </w:rPr>
        <w:t xml:space="preserve"> </w:t>
      </w:r>
      <w:r w:rsidR="00136EBB" w:rsidRPr="00DA68DF">
        <w:rPr>
          <w:rFonts w:ascii="Calibri" w:hAnsi="Calibri" w:cstheme="minorHAnsi"/>
          <w:lang w:val="en-US"/>
        </w:rPr>
        <w:t xml:space="preserve">and </w:t>
      </w:r>
      <w:r w:rsidR="0082645A" w:rsidRPr="00DA68DF">
        <w:rPr>
          <w:rFonts w:ascii="Calibri" w:hAnsi="Calibri" w:cstheme="minorHAnsi"/>
          <w:lang w:val="en-US"/>
        </w:rPr>
        <w:t xml:space="preserve">extend our analyses to a contrasting sample of countries </w:t>
      </w:r>
      <w:r w:rsidR="007220BD" w:rsidRPr="00DA68DF">
        <w:rPr>
          <w:rFonts w:ascii="Calibri" w:hAnsi="Calibri" w:cstheme="minorHAnsi"/>
          <w:lang w:val="en-US"/>
        </w:rPr>
        <w:t xml:space="preserve">using </w:t>
      </w:r>
      <w:r w:rsidR="00136EBB" w:rsidRPr="00DA68DF">
        <w:rPr>
          <w:rFonts w:ascii="Calibri" w:hAnsi="Calibri" w:cstheme="minorHAnsi"/>
          <w:lang w:val="en-US"/>
        </w:rPr>
        <w:t>the Luxembourg Income Study</w:t>
      </w:r>
      <w:r w:rsidR="001018F6" w:rsidRPr="00DA68DF">
        <w:rPr>
          <w:rFonts w:ascii="Calibri" w:hAnsi="Calibri" w:cstheme="minorHAnsi"/>
          <w:lang w:val="en-US"/>
        </w:rPr>
        <w:t xml:space="preserve"> </w:t>
      </w:r>
      <w:r w:rsidR="00136EBB" w:rsidRPr="00DA68DF">
        <w:rPr>
          <w:rFonts w:ascii="Calibri" w:hAnsi="Calibri" w:cstheme="minorHAnsi"/>
          <w:lang w:val="en-US"/>
        </w:rPr>
        <w:t>data (</w:t>
      </w:r>
      <w:r w:rsidR="001018F6" w:rsidRPr="00DA68DF">
        <w:rPr>
          <w:rFonts w:ascii="Calibri" w:hAnsi="Calibri" w:cstheme="minorHAnsi"/>
          <w:lang w:val="en-US"/>
        </w:rPr>
        <w:t>LIS</w:t>
      </w:r>
      <w:r w:rsidR="00136EBB" w:rsidRPr="00DA68DF">
        <w:rPr>
          <w:rFonts w:ascii="Calibri" w:hAnsi="Calibri" w:cstheme="minorHAnsi"/>
          <w:lang w:val="en-US"/>
        </w:rPr>
        <w:t>)</w:t>
      </w:r>
      <w:r w:rsidR="001018F6" w:rsidRPr="00DA68DF">
        <w:rPr>
          <w:rFonts w:ascii="Calibri" w:hAnsi="Calibri" w:cstheme="minorHAnsi"/>
          <w:lang w:val="en-US"/>
        </w:rPr>
        <w:t>.</w:t>
      </w:r>
      <w:r w:rsidR="00136EBB" w:rsidRPr="00DA68DF">
        <w:rPr>
          <w:rFonts w:ascii="Calibri" w:hAnsi="Calibri" w:cstheme="minorHAnsi"/>
          <w:lang w:val="en-US"/>
        </w:rPr>
        <w:t xml:space="preserve"> </w:t>
      </w:r>
      <w:r w:rsidR="007C0F6B" w:rsidRPr="00DA68DF">
        <w:rPr>
          <w:rFonts w:ascii="Calibri" w:hAnsi="Calibri" w:cstheme="minorHAnsi"/>
          <w:lang w:val="en-US"/>
        </w:rPr>
        <w:t xml:space="preserve">To </w:t>
      </w:r>
      <w:proofErr w:type="spellStart"/>
      <w:r w:rsidR="007C0F6B" w:rsidRPr="00DA68DF">
        <w:rPr>
          <w:rFonts w:ascii="Calibri" w:hAnsi="Calibri" w:cstheme="minorHAnsi"/>
          <w:lang w:val="en-US"/>
        </w:rPr>
        <w:t>maximise</w:t>
      </w:r>
      <w:proofErr w:type="spellEnd"/>
      <w:r w:rsidR="007C0F6B" w:rsidRPr="00DA68DF">
        <w:rPr>
          <w:rFonts w:ascii="Calibri" w:hAnsi="Calibri" w:cstheme="minorHAnsi"/>
          <w:lang w:val="en-US"/>
        </w:rPr>
        <w:t xml:space="preserve"> our standard of harmonization, we focus here on </w:t>
      </w:r>
      <w:r w:rsidR="00FB6F9D" w:rsidRPr="00DA68DF">
        <w:rPr>
          <w:rFonts w:ascii="Calibri" w:hAnsi="Calibri" w:cstheme="minorHAnsi"/>
          <w:lang w:val="en-US"/>
        </w:rPr>
        <w:t>nine</w:t>
      </w:r>
      <w:r w:rsidR="007C0F6B" w:rsidRPr="00DA68DF">
        <w:rPr>
          <w:rFonts w:ascii="Calibri" w:hAnsi="Calibri" w:cstheme="minorHAnsi"/>
          <w:lang w:val="en-US"/>
        </w:rPr>
        <w:t xml:space="preserve"> countries for which all the data regarding education and income were available for all the waves</w:t>
      </w:r>
      <w:r w:rsidR="00465D3E" w:rsidRPr="00DA68DF">
        <w:rPr>
          <w:rFonts w:ascii="Calibri" w:hAnsi="Calibri" w:cstheme="minorHAnsi"/>
          <w:lang w:val="en-US"/>
        </w:rPr>
        <w:t>: Germany, Denmark, Finland, France, Great Britain, Italy, Norway, Taiwan and the U.S</w:t>
      </w:r>
      <w:r w:rsidR="007C0F6B" w:rsidRPr="00DA68DF">
        <w:rPr>
          <w:rFonts w:ascii="Calibri" w:hAnsi="Calibri" w:cstheme="minorHAnsi"/>
          <w:lang w:val="en-US"/>
        </w:rPr>
        <w:t>.</w:t>
      </w:r>
      <w:r w:rsidR="000D70BC" w:rsidRPr="00DA68DF">
        <w:rPr>
          <w:rFonts w:ascii="Calibri" w:hAnsi="Calibri" w:cstheme="minorHAnsi"/>
          <w:lang w:val="en-US"/>
        </w:rPr>
        <w:t xml:space="preserve"> </w:t>
      </w:r>
      <w:r w:rsidR="00CC1B79" w:rsidRPr="00DA68DF">
        <w:rPr>
          <w:rFonts w:ascii="Calibri" w:hAnsi="Calibri" w:cstheme="minorHAnsi"/>
          <w:lang w:val="en-US"/>
        </w:rPr>
        <w:t xml:space="preserve">We </w:t>
      </w:r>
      <w:proofErr w:type="spellStart"/>
      <w:r w:rsidR="00465D3E" w:rsidRPr="00DA68DF">
        <w:rPr>
          <w:rFonts w:ascii="Calibri" w:hAnsi="Calibri" w:cstheme="minorHAnsi"/>
          <w:lang w:val="en-US"/>
        </w:rPr>
        <w:t>analyse</w:t>
      </w:r>
      <w:proofErr w:type="spellEnd"/>
      <w:r w:rsidR="00465D3E" w:rsidRPr="00DA68DF">
        <w:rPr>
          <w:rFonts w:ascii="Calibri" w:hAnsi="Calibri" w:cstheme="minorHAnsi"/>
          <w:lang w:val="en-US"/>
        </w:rPr>
        <w:t xml:space="preserve"> women</w:t>
      </w:r>
      <w:r w:rsidR="00913B7E" w:rsidRPr="00DA68DF">
        <w:rPr>
          <w:rFonts w:ascii="Calibri" w:hAnsi="Calibri" w:cstheme="minorHAnsi"/>
          <w:lang w:val="en-US"/>
        </w:rPr>
        <w:t xml:space="preserve"> </w:t>
      </w:r>
      <w:r w:rsidR="00CC1B79" w:rsidRPr="00DA68DF">
        <w:rPr>
          <w:rFonts w:ascii="Calibri" w:hAnsi="Calibri" w:cstheme="minorHAnsi"/>
          <w:lang w:val="en-US"/>
        </w:rPr>
        <w:t>age</w:t>
      </w:r>
      <w:r w:rsidR="00913B7E" w:rsidRPr="00DA68DF">
        <w:rPr>
          <w:rFonts w:ascii="Calibri" w:hAnsi="Calibri" w:cstheme="minorHAnsi"/>
          <w:lang w:val="en-US"/>
        </w:rPr>
        <w:t>d 25 to 49 years</w:t>
      </w:r>
      <w:r w:rsidR="00504FB6" w:rsidRPr="00DA68DF">
        <w:rPr>
          <w:rFonts w:ascii="Calibri" w:hAnsi="Calibri" w:cstheme="minorHAnsi"/>
          <w:lang w:val="en-US"/>
        </w:rPr>
        <w:t xml:space="preserve"> </w:t>
      </w:r>
      <w:r w:rsidR="00504FB6" w:rsidRPr="00DA68DF">
        <w:rPr>
          <w:rFonts w:ascii="Calibri" w:hAnsi="Calibri" w:cstheme="minorHAnsi"/>
        </w:rPr>
        <w:t>(i.e., after the completion of schooling)</w:t>
      </w:r>
      <w:r w:rsidR="00F56CB6">
        <w:rPr>
          <w:rFonts w:ascii="Calibri" w:hAnsi="Calibri" w:cstheme="minorHAnsi"/>
        </w:rPr>
        <w:t>, which are head of the household or spouse or (co-habiting) partner of the head of household</w:t>
      </w:r>
      <w:r w:rsidR="00913B7E" w:rsidRPr="00DA68DF">
        <w:rPr>
          <w:rFonts w:ascii="Calibri" w:hAnsi="Calibri" w:cstheme="minorHAnsi"/>
          <w:lang w:val="en-US"/>
        </w:rPr>
        <w:t>.</w:t>
      </w:r>
      <w:r w:rsidR="00AF04FD">
        <w:rPr>
          <w:rFonts w:ascii="Calibri" w:hAnsi="Calibri" w:cstheme="minorHAnsi"/>
          <w:lang w:val="en-US"/>
        </w:rPr>
        <w:t xml:space="preserve"> Our data is not able to distinguish children living in two households, which may thus potentially imply double counts where parents are separated. </w:t>
      </w:r>
    </w:p>
    <w:p w14:paraId="6A5235C0" w14:textId="32B9F851" w:rsidR="001018F6" w:rsidRPr="00E233B9" w:rsidRDefault="000D70BC" w:rsidP="00E233B9">
      <w:pPr>
        <w:spacing w:line="480" w:lineRule="auto"/>
        <w:jc w:val="both"/>
        <w:rPr>
          <w:rFonts w:asciiTheme="minorHAnsi" w:hAnsiTheme="minorHAnsi" w:cstheme="minorHAnsi"/>
          <w:lang w:val="en-US"/>
        </w:rPr>
      </w:pPr>
      <w:r w:rsidRPr="00DA68DF">
        <w:rPr>
          <w:rFonts w:ascii="Calibri" w:hAnsi="Calibri" w:cstheme="minorHAnsi"/>
          <w:lang w:val="en-US"/>
        </w:rPr>
        <w:lastRenderedPageBreak/>
        <w:t xml:space="preserve">Our dependent variable is the </w:t>
      </w:r>
      <w:r w:rsidRPr="00DA68DF">
        <w:rPr>
          <w:rFonts w:ascii="Calibri" w:hAnsi="Calibri" w:cstheme="minorHAnsi"/>
          <w:i/>
          <w:lang w:val="en-US"/>
        </w:rPr>
        <w:t>number of children living in the household</w:t>
      </w:r>
      <w:r w:rsidRPr="00DA68DF">
        <w:rPr>
          <w:rFonts w:ascii="Calibri" w:hAnsi="Calibri" w:cstheme="minorHAnsi"/>
          <w:lang w:val="en-US"/>
        </w:rPr>
        <w:t>.</w:t>
      </w:r>
      <w:r w:rsidR="007632CB">
        <w:rPr>
          <w:rStyle w:val="FootnoteReference"/>
          <w:rFonts w:ascii="Calibri" w:hAnsi="Calibri" w:cstheme="minorHAnsi"/>
          <w:lang w:val="en-US"/>
        </w:rPr>
        <w:footnoteReference w:id="2"/>
      </w:r>
      <w:r w:rsidRPr="00DA68DF">
        <w:rPr>
          <w:rFonts w:ascii="Calibri" w:hAnsi="Calibri" w:cstheme="minorHAnsi"/>
          <w:lang w:val="en-US"/>
        </w:rPr>
        <w:t xml:space="preserve"> More specifically, the</w:t>
      </w:r>
      <w:r w:rsidR="004467BA" w:rsidRPr="00DA68DF">
        <w:rPr>
          <w:rFonts w:ascii="Calibri" w:hAnsi="Calibri" w:cstheme="minorHAnsi"/>
          <w:lang w:val="en-US"/>
        </w:rPr>
        <w:t xml:space="preserve"> data </w:t>
      </w:r>
      <w:r w:rsidRPr="00DA68DF">
        <w:rPr>
          <w:rFonts w:ascii="Calibri" w:hAnsi="Calibri" w:cstheme="minorHAnsi"/>
          <w:lang w:val="en-US"/>
        </w:rPr>
        <w:t>comprises -but does</w:t>
      </w:r>
      <w:r w:rsidR="004467BA" w:rsidRPr="00DA68DF">
        <w:rPr>
          <w:rFonts w:ascii="Calibri" w:hAnsi="Calibri" w:cstheme="minorHAnsi"/>
          <w:lang w:val="en-US"/>
        </w:rPr>
        <w:t xml:space="preserve"> not </w:t>
      </w:r>
      <w:r w:rsidRPr="00DA68DF">
        <w:rPr>
          <w:rFonts w:ascii="Calibri" w:hAnsi="Calibri" w:cstheme="minorHAnsi"/>
          <w:lang w:val="en-US"/>
        </w:rPr>
        <w:t xml:space="preserve">allow </w:t>
      </w:r>
      <w:r w:rsidR="004467BA" w:rsidRPr="00DA68DF">
        <w:rPr>
          <w:rFonts w:ascii="Calibri" w:hAnsi="Calibri" w:cstheme="minorHAnsi"/>
          <w:lang w:val="en-US"/>
        </w:rPr>
        <w:t>distinguish</w:t>
      </w:r>
      <w:r w:rsidRPr="00DA68DF">
        <w:rPr>
          <w:rFonts w:ascii="Calibri" w:hAnsi="Calibri" w:cstheme="minorHAnsi"/>
          <w:lang w:val="en-US"/>
        </w:rPr>
        <w:t>ing</w:t>
      </w:r>
      <w:r>
        <w:rPr>
          <w:rFonts w:asciiTheme="minorHAnsi" w:hAnsiTheme="minorHAnsi" w:cstheme="minorHAnsi"/>
          <w:lang w:val="en-US"/>
        </w:rPr>
        <w:t>-</w:t>
      </w:r>
      <w:r w:rsidR="004467BA" w:rsidRPr="00E233B9">
        <w:rPr>
          <w:rFonts w:asciiTheme="minorHAnsi" w:hAnsiTheme="minorHAnsi" w:cstheme="minorHAnsi"/>
          <w:lang w:val="en-US"/>
        </w:rPr>
        <w:t xml:space="preserve"> biological</w:t>
      </w:r>
      <w:r>
        <w:rPr>
          <w:rFonts w:asciiTheme="minorHAnsi" w:hAnsiTheme="minorHAnsi" w:cstheme="minorHAnsi"/>
          <w:lang w:val="en-US"/>
        </w:rPr>
        <w:t>,</w:t>
      </w:r>
      <w:r w:rsidR="004467BA" w:rsidRPr="00E233B9">
        <w:rPr>
          <w:rFonts w:asciiTheme="minorHAnsi" w:hAnsiTheme="minorHAnsi" w:cstheme="minorHAnsi"/>
          <w:lang w:val="en-US"/>
        </w:rPr>
        <w:t xml:space="preserve"> adopted</w:t>
      </w:r>
      <w:r>
        <w:rPr>
          <w:rFonts w:asciiTheme="minorHAnsi" w:hAnsiTheme="minorHAnsi" w:cstheme="minorHAnsi"/>
          <w:lang w:val="en-US"/>
        </w:rPr>
        <w:t xml:space="preserve"> and step</w:t>
      </w:r>
      <w:r w:rsidR="004467BA" w:rsidRPr="00E233B9">
        <w:rPr>
          <w:rFonts w:asciiTheme="minorHAnsi" w:hAnsiTheme="minorHAnsi" w:cstheme="minorHAnsi"/>
          <w:lang w:val="en-US"/>
        </w:rPr>
        <w:t xml:space="preserve"> children</w:t>
      </w:r>
      <w:r>
        <w:rPr>
          <w:rFonts w:asciiTheme="minorHAnsi" w:hAnsiTheme="minorHAnsi" w:cstheme="minorHAnsi"/>
          <w:lang w:val="en-US"/>
        </w:rPr>
        <w:t>.</w:t>
      </w:r>
      <w:r w:rsidR="0088634A" w:rsidRPr="00E233B9">
        <w:rPr>
          <w:rFonts w:asciiTheme="minorHAnsi" w:hAnsiTheme="minorHAnsi" w:cstheme="minorHAnsi"/>
          <w:lang w:val="en-US"/>
        </w:rPr>
        <w:t xml:space="preserve"> </w:t>
      </w:r>
      <w:r>
        <w:rPr>
          <w:rFonts w:asciiTheme="minorHAnsi" w:hAnsiTheme="minorHAnsi" w:cstheme="minorHAnsi"/>
          <w:lang w:val="en-US"/>
        </w:rPr>
        <w:t>This</w:t>
      </w:r>
      <w:r w:rsidR="0088634A" w:rsidRPr="00E233B9">
        <w:rPr>
          <w:rFonts w:asciiTheme="minorHAnsi" w:hAnsiTheme="minorHAnsi" w:cstheme="minorHAnsi"/>
          <w:lang w:val="en-US"/>
        </w:rPr>
        <w:t xml:space="preserve"> </w:t>
      </w:r>
      <w:r>
        <w:rPr>
          <w:rFonts w:asciiTheme="minorHAnsi" w:hAnsiTheme="minorHAnsi" w:cstheme="minorHAnsi"/>
          <w:lang w:val="en-US"/>
        </w:rPr>
        <w:t>should</w:t>
      </w:r>
      <w:r w:rsidRPr="00E233B9">
        <w:rPr>
          <w:rFonts w:asciiTheme="minorHAnsi" w:hAnsiTheme="minorHAnsi" w:cstheme="minorHAnsi"/>
          <w:lang w:val="en-US"/>
        </w:rPr>
        <w:t xml:space="preserve"> </w:t>
      </w:r>
      <w:r w:rsidR="0088634A" w:rsidRPr="00E233B9">
        <w:rPr>
          <w:rFonts w:asciiTheme="minorHAnsi" w:hAnsiTheme="minorHAnsi" w:cstheme="minorHAnsi"/>
          <w:lang w:val="en-US"/>
        </w:rPr>
        <w:t>have important implications in light of country differences</w:t>
      </w:r>
      <w:r>
        <w:rPr>
          <w:rFonts w:asciiTheme="minorHAnsi" w:hAnsiTheme="minorHAnsi" w:cstheme="minorHAnsi"/>
          <w:lang w:val="en-US"/>
        </w:rPr>
        <w:t>.</w:t>
      </w:r>
      <w:r w:rsidR="004467BA" w:rsidRPr="00E233B9">
        <w:rPr>
          <w:rFonts w:asciiTheme="minorHAnsi" w:hAnsiTheme="minorHAnsi" w:cstheme="minorHAnsi"/>
          <w:lang w:val="en-US"/>
        </w:rPr>
        <w:t xml:space="preserve"> </w:t>
      </w:r>
      <w:r>
        <w:rPr>
          <w:rFonts w:asciiTheme="minorHAnsi" w:hAnsiTheme="minorHAnsi" w:cstheme="minorHAnsi"/>
          <w:lang w:val="en-US"/>
        </w:rPr>
        <w:t>T</w:t>
      </w:r>
      <w:r w:rsidR="004467BA" w:rsidRPr="00E233B9">
        <w:rPr>
          <w:rFonts w:asciiTheme="minorHAnsi" w:hAnsiTheme="minorHAnsi" w:cstheme="minorHAnsi"/>
          <w:lang w:val="en-US"/>
        </w:rPr>
        <w:t>he US</w:t>
      </w:r>
      <w:r>
        <w:rPr>
          <w:rFonts w:asciiTheme="minorHAnsi" w:hAnsiTheme="minorHAnsi" w:cstheme="minorHAnsi"/>
          <w:lang w:val="en-US"/>
        </w:rPr>
        <w:t xml:space="preserve"> for instance</w:t>
      </w:r>
      <w:r w:rsidR="004467BA" w:rsidRPr="00E233B9">
        <w:rPr>
          <w:rFonts w:asciiTheme="minorHAnsi" w:hAnsiTheme="minorHAnsi" w:cstheme="minorHAnsi"/>
          <w:lang w:val="en-US"/>
        </w:rPr>
        <w:t xml:space="preserve"> is the one of the countries with the highest adoption rate in the world</w:t>
      </w:r>
      <w:r>
        <w:rPr>
          <w:rFonts w:asciiTheme="minorHAnsi" w:hAnsiTheme="minorHAnsi" w:cstheme="minorHAnsi"/>
          <w:lang w:val="en-US"/>
        </w:rPr>
        <w:t>:</w:t>
      </w:r>
      <w:r w:rsidR="004467BA" w:rsidRPr="00E233B9">
        <w:rPr>
          <w:rFonts w:asciiTheme="minorHAnsi" w:hAnsiTheme="minorHAnsi" w:cstheme="minorHAnsi"/>
          <w:lang w:val="en-US"/>
        </w:rPr>
        <w:t xml:space="preserve"> The adoption rate amounted 3156 adoptions per 100,000 births in 2001, </w:t>
      </w:r>
      <w:r w:rsidR="0088634A" w:rsidRPr="00E233B9">
        <w:rPr>
          <w:rFonts w:asciiTheme="minorHAnsi" w:hAnsiTheme="minorHAnsi" w:cstheme="minorHAnsi"/>
          <w:lang w:val="en-US"/>
        </w:rPr>
        <w:t>four times higher than in Germany</w:t>
      </w:r>
      <w:r w:rsidR="004467BA" w:rsidRPr="00E233B9">
        <w:rPr>
          <w:rFonts w:asciiTheme="minorHAnsi" w:hAnsiTheme="minorHAnsi" w:cstheme="minorHAnsi"/>
          <w:lang w:val="en-US"/>
        </w:rPr>
        <w:t xml:space="preserve"> (</w:t>
      </w:r>
      <w:r w:rsidR="0016488B" w:rsidRPr="00E233B9">
        <w:rPr>
          <w:rFonts w:asciiTheme="minorHAnsi" w:hAnsiTheme="minorHAnsi" w:cstheme="minorHAnsi"/>
          <w:lang w:val="en-US"/>
        </w:rPr>
        <w:t>UN 2009)</w:t>
      </w:r>
      <w:r w:rsidR="004467BA" w:rsidRPr="00E233B9">
        <w:rPr>
          <w:rFonts w:asciiTheme="minorHAnsi" w:hAnsiTheme="minorHAnsi" w:cstheme="minorHAnsi"/>
          <w:lang w:val="en-US"/>
        </w:rPr>
        <w:t>.</w:t>
      </w:r>
      <w:r w:rsidR="007632CB">
        <w:rPr>
          <w:rFonts w:asciiTheme="minorHAnsi" w:hAnsiTheme="minorHAnsi" w:cstheme="minorHAnsi"/>
          <w:lang w:val="en-US"/>
        </w:rPr>
        <w:t xml:space="preserve"> </w:t>
      </w:r>
    </w:p>
    <w:p w14:paraId="704F19A8" w14:textId="469763F8" w:rsidR="002C1C2A" w:rsidRPr="00E233B9" w:rsidRDefault="000D70BC" w:rsidP="00E233B9">
      <w:pPr>
        <w:spacing w:line="480" w:lineRule="auto"/>
        <w:jc w:val="both"/>
        <w:rPr>
          <w:rFonts w:asciiTheme="minorHAnsi" w:hAnsiTheme="minorHAnsi" w:cstheme="minorHAnsi"/>
        </w:rPr>
      </w:pPr>
      <w:r>
        <w:rPr>
          <w:rFonts w:asciiTheme="minorHAnsi" w:hAnsiTheme="minorHAnsi" w:cstheme="minorHAnsi"/>
          <w:lang w:val="en-US"/>
        </w:rPr>
        <w:t xml:space="preserve">The variable </w:t>
      </w:r>
      <w:r w:rsidRPr="00E233B9">
        <w:rPr>
          <w:rFonts w:asciiTheme="minorHAnsi" w:hAnsiTheme="minorHAnsi" w:cstheme="minorHAnsi"/>
          <w:i/>
        </w:rPr>
        <w:t>e</w:t>
      </w:r>
      <w:r w:rsidR="002C1C2A" w:rsidRPr="00E233B9">
        <w:rPr>
          <w:rFonts w:asciiTheme="minorHAnsi" w:hAnsiTheme="minorHAnsi" w:cstheme="minorHAnsi"/>
          <w:i/>
        </w:rPr>
        <w:t>ducation</w:t>
      </w:r>
      <w:r w:rsidR="002C1C2A" w:rsidRPr="00E233B9">
        <w:rPr>
          <w:rFonts w:asciiTheme="minorHAnsi" w:hAnsiTheme="minorHAnsi" w:cstheme="minorHAnsi"/>
        </w:rPr>
        <w:t xml:space="preserve"> refers to the highest completed level of education grouped in two categories: </w:t>
      </w:r>
      <w:r w:rsidR="006F1472">
        <w:rPr>
          <w:rFonts w:asciiTheme="minorHAnsi" w:hAnsiTheme="minorHAnsi" w:cstheme="minorHAnsi"/>
        </w:rPr>
        <w:t>(1) l</w:t>
      </w:r>
      <w:r w:rsidR="002C1C2A" w:rsidRPr="00E233B9">
        <w:rPr>
          <w:rFonts w:asciiTheme="minorHAnsi" w:hAnsiTheme="minorHAnsi" w:cstheme="minorHAnsi"/>
        </w:rPr>
        <w:t>ess than secondary education completed (never attended, no completed education or education completed at the ISCED levels 0, 1 or 2)</w:t>
      </w:r>
      <w:r w:rsidR="006E7771" w:rsidRPr="00E233B9">
        <w:rPr>
          <w:rFonts w:asciiTheme="minorHAnsi" w:hAnsiTheme="minorHAnsi" w:cstheme="minorHAnsi"/>
        </w:rPr>
        <w:t>, s</w:t>
      </w:r>
      <w:r w:rsidR="002C1C2A" w:rsidRPr="00E233B9">
        <w:rPr>
          <w:rFonts w:asciiTheme="minorHAnsi" w:hAnsiTheme="minorHAnsi" w:cstheme="minorHAnsi"/>
        </w:rPr>
        <w:t>econdary education completed (completed ISCED levels 3 or 4)</w:t>
      </w:r>
      <w:r w:rsidR="006F1472">
        <w:rPr>
          <w:rFonts w:asciiTheme="minorHAnsi" w:hAnsiTheme="minorHAnsi" w:cstheme="minorHAnsi"/>
        </w:rPr>
        <w:t xml:space="preserve"> and (2) </w:t>
      </w:r>
      <w:r w:rsidR="002C1C2A" w:rsidRPr="00E233B9">
        <w:rPr>
          <w:rFonts w:asciiTheme="minorHAnsi" w:hAnsiTheme="minorHAnsi" w:cstheme="minorHAnsi"/>
        </w:rPr>
        <w:t>tertiary education completed (completed ISCED levels 5 or 6)</w:t>
      </w:r>
      <w:r w:rsidR="006F1472">
        <w:rPr>
          <w:rFonts w:asciiTheme="minorHAnsi" w:hAnsiTheme="minorHAnsi" w:cstheme="minorHAnsi"/>
        </w:rPr>
        <w:t>.</w:t>
      </w:r>
      <w:r w:rsidR="00950A5C">
        <w:rPr>
          <w:rFonts w:asciiTheme="minorHAnsi" w:hAnsiTheme="minorHAnsi" w:cstheme="minorHAnsi"/>
        </w:rPr>
        <w:t xml:space="preserve"> We discuss how education should be measured in absolute terms (diploma, level of education) or relative to the cohort’s average (top/bottom decile educational position in the cohort). </w:t>
      </w:r>
    </w:p>
    <w:p w14:paraId="775A32F7" w14:textId="2A8EEC41" w:rsidR="004E2301" w:rsidRPr="00E233B9" w:rsidRDefault="00251DF3" w:rsidP="00E233B9">
      <w:pPr>
        <w:pStyle w:val="Heading1"/>
        <w:spacing w:line="480" w:lineRule="auto"/>
        <w:rPr>
          <w:lang w:val="en-US"/>
        </w:rPr>
      </w:pPr>
      <w:r>
        <w:rPr>
          <w:lang w:val="en-US"/>
        </w:rPr>
        <w:t xml:space="preserve">Trends in </w:t>
      </w:r>
      <w:r w:rsidR="000A23FC" w:rsidRPr="000A23FC">
        <w:rPr>
          <w:lang w:val="en-US"/>
        </w:rPr>
        <w:t>extended social fertility (ESF)</w:t>
      </w:r>
      <w:r w:rsidR="000A23FC">
        <w:rPr>
          <w:lang w:val="en-US"/>
        </w:rPr>
        <w:t xml:space="preserve"> </w:t>
      </w:r>
      <w:r>
        <w:rPr>
          <w:lang w:val="en-US"/>
        </w:rPr>
        <w:t>in the US</w:t>
      </w:r>
      <w:r w:rsidR="00F758E7" w:rsidRPr="00E233B9">
        <w:rPr>
          <w:lang w:val="en-US"/>
        </w:rPr>
        <w:t xml:space="preserve"> </w:t>
      </w:r>
    </w:p>
    <w:p w14:paraId="3AB47BB3" w14:textId="2A3D725E" w:rsidR="008513B5" w:rsidRDefault="00C1209B" w:rsidP="00E233B9">
      <w:pPr>
        <w:spacing w:line="480" w:lineRule="auto"/>
        <w:jc w:val="both"/>
        <w:rPr>
          <w:rFonts w:asciiTheme="minorHAnsi" w:hAnsiTheme="minorHAnsi" w:cstheme="minorHAnsi"/>
          <w:lang w:val="en-US"/>
        </w:rPr>
      </w:pPr>
      <w:r>
        <w:rPr>
          <w:rFonts w:asciiTheme="minorHAnsi" w:hAnsiTheme="minorHAnsi" w:cstheme="minorHAnsi"/>
          <w:lang w:val="en-US"/>
        </w:rPr>
        <w:t>Before turning to the comparative analysis, we show the trends</w:t>
      </w:r>
      <w:r w:rsidR="00F13CF1">
        <w:rPr>
          <w:rFonts w:asciiTheme="minorHAnsi" w:hAnsiTheme="minorHAnsi" w:cstheme="minorHAnsi"/>
          <w:lang w:val="en-US"/>
        </w:rPr>
        <w:t xml:space="preserve"> in ESF</w:t>
      </w:r>
      <w:r>
        <w:rPr>
          <w:rFonts w:asciiTheme="minorHAnsi" w:hAnsiTheme="minorHAnsi" w:cstheme="minorHAnsi"/>
          <w:lang w:val="en-US"/>
        </w:rPr>
        <w:t xml:space="preserve"> in the US, for which we have longer time-series data available. </w:t>
      </w:r>
      <w:r w:rsidR="008513B5" w:rsidRPr="00E233B9">
        <w:rPr>
          <w:rFonts w:asciiTheme="minorHAnsi" w:hAnsiTheme="minorHAnsi" w:cstheme="minorHAnsi"/>
          <w:lang w:val="en-US"/>
        </w:rPr>
        <w:t xml:space="preserve">The </w:t>
      </w:r>
      <w:r w:rsidR="00F13CF1">
        <w:rPr>
          <w:rFonts w:asciiTheme="minorHAnsi" w:hAnsiTheme="minorHAnsi" w:cstheme="minorHAnsi"/>
          <w:lang w:val="en-US"/>
        </w:rPr>
        <w:t xml:space="preserve">respective </w:t>
      </w:r>
      <w:r w:rsidR="008513B5" w:rsidRPr="00E233B9">
        <w:rPr>
          <w:rFonts w:asciiTheme="minorHAnsi" w:hAnsiTheme="minorHAnsi" w:cstheme="minorHAnsi"/>
          <w:lang w:val="en-US"/>
        </w:rPr>
        <w:t xml:space="preserve">cohort trends among lower and higher educated women respectively </w:t>
      </w:r>
      <w:r>
        <w:rPr>
          <w:rFonts w:asciiTheme="minorHAnsi" w:hAnsiTheme="minorHAnsi" w:cstheme="minorHAnsi"/>
          <w:lang w:val="en-US"/>
        </w:rPr>
        <w:t xml:space="preserve">in the US </w:t>
      </w:r>
      <w:r w:rsidR="008513B5" w:rsidRPr="00E233B9">
        <w:rPr>
          <w:rFonts w:asciiTheme="minorHAnsi" w:hAnsiTheme="minorHAnsi" w:cstheme="minorHAnsi"/>
          <w:lang w:val="en-US"/>
        </w:rPr>
        <w:t xml:space="preserve">is shown in Figure 1. It clearly shows the generally declining trend in ESF and confirms thus </w:t>
      </w:r>
      <w:r w:rsidR="00F13CF1">
        <w:rPr>
          <w:rFonts w:asciiTheme="minorHAnsi" w:hAnsiTheme="minorHAnsi" w:cstheme="minorHAnsi"/>
          <w:lang w:val="en-US"/>
        </w:rPr>
        <w:t>the</w:t>
      </w:r>
      <w:r w:rsidR="008513B5" w:rsidRPr="00E233B9">
        <w:rPr>
          <w:rFonts w:asciiTheme="minorHAnsi" w:hAnsiTheme="minorHAnsi" w:cstheme="minorHAnsi"/>
          <w:lang w:val="en-US"/>
        </w:rPr>
        <w:t xml:space="preserve"> </w:t>
      </w:r>
      <w:r>
        <w:rPr>
          <w:rFonts w:asciiTheme="minorHAnsi" w:hAnsiTheme="minorHAnsi" w:cstheme="minorHAnsi"/>
          <w:lang w:val="en-US"/>
        </w:rPr>
        <w:t>analogy</w:t>
      </w:r>
      <w:r w:rsidR="008513B5" w:rsidRPr="00E233B9">
        <w:rPr>
          <w:rFonts w:asciiTheme="minorHAnsi" w:hAnsiTheme="minorHAnsi" w:cstheme="minorHAnsi"/>
          <w:lang w:val="en-US"/>
        </w:rPr>
        <w:t xml:space="preserve"> to</w:t>
      </w:r>
      <w:r w:rsidR="00B47678">
        <w:rPr>
          <w:rFonts w:asciiTheme="minorHAnsi" w:hAnsiTheme="minorHAnsi" w:cstheme="minorHAnsi"/>
          <w:lang w:val="en-US"/>
        </w:rPr>
        <w:t xml:space="preserve"> the known</w:t>
      </w:r>
      <w:r w:rsidR="008513B5" w:rsidRPr="00E233B9">
        <w:rPr>
          <w:rFonts w:asciiTheme="minorHAnsi" w:hAnsiTheme="minorHAnsi" w:cstheme="minorHAnsi"/>
          <w:lang w:val="en-US"/>
        </w:rPr>
        <w:t xml:space="preserve"> fertility trends in the US. </w:t>
      </w:r>
    </w:p>
    <w:p w14:paraId="2E718674" w14:textId="1293A6FD" w:rsidR="0049658B" w:rsidRDefault="0049658B" w:rsidP="0049658B">
      <w:pPr>
        <w:spacing w:line="480" w:lineRule="auto"/>
        <w:jc w:val="both"/>
        <w:rPr>
          <w:rFonts w:asciiTheme="minorHAnsi" w:hAnsiTheme="minorHAnsi" w:cstheme="minorHAnsi"/>
          <w:lang w:val="en-US"/>
        </w:rPr>
      </w:pPr>
      <w:r w:rsidRPr="00E233B9">
        <w:rPr>
          <w:rFonts w:asciiTheme="minorHAnsi" w:hAnsiTheme="minorHAnsi" w:cstheme="minorHAnsi"/>
          <w:lang w:val="en-US"/>
        </w:rPr>
        <w:t xml:space="preserve">However, there are also periods of narrowing and widening educational gaps.  In the US, we observe non-linear trend in the educational gap over cohorts, in which we can identify three phases (Figure </w:t>
      </w:r>
      <w:r>
        <w:rPr>
          <w:rFonts w:asciiTheme="minorHAnsi" w:hAnsiTheme="minorHAnsi" w:cstheme="minorHAnsi"/>
          <w:lang w:val="en-US"/>
        </w:rPr>
        <w:t>1 right</w:t>
      </w:r>
      <w:r w:rsidRPr="00E233B9">
        <w:rPr>
          <w:rFonts w:asciiTheme="minorHAnsi" w:hAnsiTheme="minorHAnsi" w:cstheme="minorHAnsi"/>
          <w:lang w:val="en-US"/>
        </w:rPr>
        <w:t>).</w:t>
      </w:r>
      <w:r w:rsidRPr="00E233B9">
        <w:rPr>
          <w:rStyle w:val="FootnoteReference"/>
          <w:rFonts w:asciiTheme="minorHAnsi" w:hAnsiTheme="minorHAnsi" w:cstheme="minorHAnsi"/>
          <w:lang w:val="en-US"/>
        </w:rPr>
        <w:footnoteReference w:id="3"/>
      </w:r>
      <w:r w:rsidRPr="00E233B9">
        <w:rPr>
          <w:rFonts w:asciiTheme="minorHAnsi" w:hAnsiTheme="minorHAnsi" w:cstheme="minorHAnsi"/>
          <w:lang w:val="en-US"/>
        </w:rPr>
        <w:t xml:space="preserve"> Among older cohorts in the US, we find lower levels of educational inequality, increasing rapidly among </w:t>
      </w:r>
      <w:r w:rsidRPr="00E233B9">
        <w:rPr>
          <w:rFonts w:asciiTheme="minorHAnsi" w:hAnsiTheme="minorHAnsi" w:cstheme="minorHAnsi"/>
          <w:lang w:val="en-US"/>
        </w:rPr>
        <w:lastRenderedPageBreak/>
        <w:t>the cohorts born between 1935 and 1950. In this first phase, the number of children in the household decrease rapidly, but fast among higher educated, which increases the educational gap between the cohorts of 1935-45. In the subsequent cohorts until the mid-1960s, the educational gap shrinks again to - but not below - the initial level.</w:t>
      </w:r>
    </w:p>
    <w:p w14:paraId="4F292EF6" w14:textId="5F8B7AA3" w:rsidR="005D3251" w:rsidRPr="00E233B9" w:rsidRDefault="005D3251" w:rsidP="005D3251">
      <w:pPr>
        <w:spacing w:line="480" w:lineRule="auto"/>
        <w:jc w:val="both"/>
        <w:rPr>
          <w:rFonts w:asciiTheme="minorHAnsi" w:hAnsiTheme="minorHAnsi" w:cstheme="minorHAnsi"/>
          <w:i/>
          <w:iCs/>
          <w:lang w:val="en-US"/>
        </w:rPr>
      </w:pPr>
      <w:r w:rsidRPr="00E233B9">
        <w:rPr>
          <w:rFonts w:asciiTheme="minorHAnsi" w:hAnsiTheme="minorHAnsi" w:cstheme="minorHAnsi"/>
          <w:i/>
          <w:iCs/>
          <w:lang w:val="en-US"/>
        </w:rPr>
        <w:t>Figure 1</w:t>
      </w:r>
      <w:r w:rsidR="00FE1374">
        <w:rPr>
          <w:rFonts w:asciiTheme="minorHAnsi" w:hAnsiTheme="minorHAnsi" w:cstheme="minorHAnsi"/>
          <w:i/>
          <w:iCs/>
          <w:lang w:val="en-US"/>
        </w:rPr>
        <w:t xml:space="preserve"> </w:t>
      </w:r>
      <w:r>
        <w:rPr>
          <w:rFonts w:asciiTheme="minorHAnsi" w:hAnsiTheme="minorHAnsi" w:cstheme="minorHAnsi"/>
          <w:i/>
          <w:iCs/>
          <w:lang w:val="en-US"/>
        </w:rPr>
        <w:t>left</w:t>
      </w:r>
      <w:r w:rsidRPr="00E233B9">
        <w:rPr>
          <w:rFonts w:asciiTheme="minorHAnsi" w:hAnsiTheme="minorHAnsi" w:cstheme="minorHAnsi"/>
          <w:i/>
          <w:iCs/>
          <w:lang w:val="en-US"/>
        </w:rPr>
        <w:t>: Cohort trends in number of children among low and high educated women in the US (</w:t>
      </w:r>
      <w:proofErr w:type="spellStart"/>
      <w:r w:rsidRPr="00E233B9">
        <w:rPr>
          <w:rFonts w:asciiTheme="minorHAnsi" w:hAnsiTheme="minorHAnsi" w:cstheme="minorHAnsi"/>
          <w:i/>
          <w:iCs/>
          <w:lang w:val="en-US"/>
        </w:rPr>
        <w:t>APCTlag</w:t>
      </w:r>
      <w:proofErr w:type="spellEnd"/>
      <w:proofErr w:type="gramStart"/>
      <w:r w:rsidRPr="00E233B9">
        <w:rPr>
          <w:rFonts w:asciiTheme="minorHAnsi" w:hAnsiTheme="minorHAnsi" w:cstheme="minorHAnsi"/>
          <w:i/>
          <w:iCs/>
          <w:lang w:val="en-US"/>
        </w:rPr>
        <w:t>)</w:t>
      </w:r>
      <w:proofErr w:type="gramEnd"/>
      <w:r>
        <w:rPr>
          <w:rFonts w:asciiTheme="minorHAnsi" w:hAnsiTheme="minorHAnsi" w:cstheme="minorHAnsi"/>
          <w:i/>
          <w:iCs/>
          <w:lang w:val="en-US"/>
        </w:rPr>
        <w:br/>
      </w:r>
      <w:r w:rsidRPr="005D3251">
        <w:rPr>
          <w:rFonts w:asciiTheme="minorHAnsi" w:hAnsiTheme="minorHAnsi" w:cstheme="minorHAnsi"/>
          <w:i/>
          <w:iCs/>
          <w:lang w:val="en-US"/>
        </w:rPr>
        <w:t>Figure 1</w:t>
      </w:r>
      <w:r w:rsidR="00FE1374">
        <w:rPr>
          <w:rFonts w:asciiTheme="minorHAnsi" w:hAnsiTheme="minorHAnsi" w:cstheme="minorHAnsi"/>
          <w:i/>
          <w:iCs/>
          <w:lang w:val="en-US"/>
        </w:rPr>
        <w:t xml:space="preserve"> </w:t>
      </w:r>
      <w:r>
        <w:rPr>
          <w:rFonts w:asciiTheme="minorHAnsi" w:hAnsiTheme="minorHAnsi" w:cstheme="minorHAnsi"/>
          <w:i/>
          <w:iCs/>
          <w:lang w:val="en-US"/>
        </w:rPr>
        <w:t>right</w:t>
      </w:r>
      <w:r w:rsidRPr="005D3251">
        <w:rPr>
          <w:rFonts w:asciiTheme="minorHAnsi" w:hAnsiTheme="minorHAnsi" w:cstheme="minorHAnsi"/>
          <w:i/>
          <w:iCs/>
          <w:lang w:val="en-US"/>
        </w:rPr>
        <w:t xml:space="preserve">: Cohort </w:t>
      </w:r>
      <w:r>
        <w:rPr>
          <w:rFonts w:asciiTheme="minorHAnsi" w:hAnsiTheme="minorHAnsi" w:cstheme="minorHAnsi"/>
          <w:i/>
          <w:iCs/>
          <w:lang w:val="en-US"/>
        </w:rPr>
        <w:t xml:space="preserve">educational gaps </w:t>
      </w:r>
      <w:r w:rsidRPr="005D3251">
        <w:rPr>
          <w:rFonts w:asciiTheme="minorHAnsi" w:hAnsiTheme="minorHAnsi" w:cstheme="minorHAnsi"/>
          <w:i/>
          <w:iCs/>
          <w:lang w:val="en-US"/>
        </w:rPr>
        <w:t xml:space="preserve">in number of children </w:t>
      </w:r>
      <w:r>
        <w:rPr>
          <w:rFonts w:asciiTheme="minorHAnsi" w:hAnsiTheme="minorHAnsi" w:cstheme="minorHAnsi"/>
          <w:i/>
          <w:iCs/>
          <w:lang w:val="en-US"/>
        </w:rPr>
        <w:t xml:space="preserve">- </w:t>
      </w:r>
      <w:r w:rsidRPr="005D3251">
        <w:rPr>
          <w:rFonts w:asciiTheme="minorHAnsi" w:hAnsiTheme="minorHAnsi" w:cstheme="minorHAnsi"/>
          <w:i/>
          <w:iCs/>
          <w:lang w:val="en-US"/>
        </w:rPr>
        <w:t>low and high educated women (APC</w:t>
      </w:r>
      <w:r w:rsidR="00B401B8">
        <w:rPr>
          <w:rFonts w:asciiTheme="minorHAnsi" w:hAnsiTheme="minorHAnsi" w:cstheme="minorHAnsi"/>
          <w:i/>
          <w:iCs/>
          <w:lang w:val="en-US"/>
        </w:rPr>
        <w:t>-</w:t>
      </w:r>
      <w:r w:rsidR="0049658B">
        <w:rPr>
          <w:rFonts w:asciiTheme="minorHAnsi" w:hAnsiTheme="minorHAnsi" w:cstheme="minorHAnsi"/>
          <w:i/>
          <w:iCs/>
          <w:lang w:val="en-US"/>
        </w:rPr>
        <w:t>GO</w:t>
      </w:r>
      <w:r w:rsidRPr="005D3251">
        <w:rPr>
          <w:rFonts w:asciiTheme="minorHAnsi" w:hAnsiTheme="minorHAnsi" w:cstheme="minorHAnsi"/>
          <w:i/>
          <w:iCs/>
          <w:lang w:val="en-US"/>
        </w:rPr>
        <w:t>)</w:t>
      </w:r>
    </w:p>
    <w:p w14:paraId="48B971C1" w14:textId="051DD3EA" w:rsidR="0027775E" w:rsidRDefault="005D3251" w:rsidP="00E233B9">
      <w:pPr>
        <w:tabs>
          <w:tab w:val="left" w:pos="7213"/>
        </w:tabs>
        <w:spacing w:line="480" w:lineRule="auto"/>
        <w:jc w:val="both"/>
        <w:rPr>
          <w:rFonts w:asciiTheme="minorHAnsi" w:hAnsiTheme="minorHAnsi" w:cstheme="minorHAnsi"/>
          <w:sz w:val="20"/>
          <w:szCs w:val="20"/>
          <w:lang w:val="en-US"/>
        </w:rPr>
      </w:pPr>
      <w:bookmarkStart w:id="0" w:name="_GoBack"/>
      <w:r>
        <w:rPr>
          <w:rFonts w:asciiTheme="minorHAnsi" w:hAnsiTheme="minorHAnsi" w:cstheme="minorHAnsi"/>
          <w:noProof/>
          <w:sz w:val="20"/>
          <w:szCs w:val="20"/>
          <w:lang w:val="en-US"/>
        </w:rPr>
        <w:drawing>
          <wp:inline distT="0" distB="0" distL="0" distR="0" wp14:anchorId="762D8445" wp14:editId="478E77E4">
            <wp:extent cx="5959475" cy="175211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l="-1881" r="-1"/>
                    <a:stretch/>
                  </pic:blipFill>
                  <pic:spPr bwMode="auto">
                    <a:xfrm>
                      <a:off x="0" y="0"/>
                      <a:ext cx="5993385" cy="1762086"/>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56536A" w:rsidRPr="00E233B9">
        <w:rPr>
          <w:rFonts w:asciiTheme="minorHAnsi" w:hAnsiTheme="minorHAnsi" w:cstheme="minorHAnsi"/>
          <w:sz w:val="20"/>
          <w:szCs w:val="20"/>
          <w:lang w:val="en-US"/>
        </w:rPr>
        <w:t xml:space="preserve">Source: </w:t>
      </w:r>
      <w:r>
        <w:rPr>
          <w:rFonts w:asciiTheme="minorHAnsi" w:hAnsiTheme="minorHAnsi" w:cstheme="minorHAnsi"/>
          <w:sz w:val="20"/>
          <w:szCs w:val="20"/>
          <w:lang w:val="en-US"/>
        </w:rPr>
        <w:t>IPUMS US Censuses 1940-2010</w:t>
      </w:r>
      <w:r w:rsidR="002152D3" w:rsidRPr="00E233B9">
        <w:rPr>
          <w:rFonts w:asciiTheme="minorHAnsi" w:hAnsiTheme="minorHAnsi" w:cstheme="minorHAnsi"/>
          <w:sz w:val="20"/>
          <w:szCs w:val="20"/>
          <w:lang w:val="en-US"/>
        </w:rPr>
        <w:t xml:space="preserve">, </w:t>
      </w:r>
      <w:r w:rsidR="0027775E" w:rsidRPr="00E233B9">
        <w:rPr>
          <w:rFonts w:asciiTheme="minorHAnsi" w:hAnsiTheme="minorHAnsi" w:cstheme="minorHAnsi"/>
          <w:sz w:val="20"/>
          <w:szCs w:val="20"/>
          <w:lang w:val="en-US"/>
        </w:rPr>
        <w:t>a</w:t>
      </w:r>
      <w:r w:rsidR="002152D3" w:rsidRPr="00E233B9">
        <w:rPr>
          <w:rFonts w:asciiTheme="minorHAnsi" w:hAnsiTheme="minorHAnsi" w:cstheme="minorHAnsi"/>
          <w:sz w:val="20"/>
          <w:szCs w:val="20"/>
          <w:lang w:val="en-US"/>
        </w:rPr>
        <w:t>uthors’ calculation</w:t>
      </w:r>
      <w:r w:rsidR="0027775E" w:rsidRPr="00E233B9">
        <w:rPr>
          <w:rFonts w:asciiTheme="minorHAnsi" w:hAnsiTheme="minorHAnsi" w:cstheme="minorHAnsi"/>
          <w:sz w:val="20"/>
          <w:szCs w:val="20"/>
          <w:lang w:val="en-US"/>
        </w:rPr>
        <w:t>s.</w:t>
      </w:r>
      <w:r w:rsidR="00B401B8" w:rsidRPr="00B401B8">
        <w:t xml:space="preserve"> </w:t>
      </w:r>
      <w:r w:rsidR="00B401B8" w:rsidRPr="00B401B8">
        <w:rPr>
          <w:rFonts w:asciiTheme="minorHAnsi" w:hAnsiTheme="minorHAnsi" w:cstheme="minorHAnsi"/>
          <w:sz w:val="20"/>
          <w:szCs w:val="20"/>
          <w:lang w:val="en-US"/>
        </w:rPr>
        <w:t xml:space="preserve">Note: APC-GO, uncontrolled gap in number of children in the household between low and high educated women. </w:t>
      </w:r>
      <w:r w:rsidR="00FE1374">
        <w:rPr>
          <w:rFonts w:asciiTheme="minorHAnsi" w:hAnsiTheme="minorHAnsi" w:cstheme="minorHAnsi"/>
          <w:sz w:val="20"/>
          <w:szCs w:val="20"/>
          <w:lang w:val="en-US"/>
        </w:rPr>
        <w:t xml:space="preserve">Educational gap=N of kids among higher educated-N of kids among lower educated. </w:t>
      </w:r>
      <w:r w:rsidR="00B401B8" w:rsidRPr="00B401B8">
        <w:rPr>
          <w:rFonts w:asciiTheme="minorHAnsi" w:hAnsiTheme="minorHAnsi" w:cstheme="minorHAnsi"/>
          <w:sz w:val="20"/>
          <w:szCs w:val="20"/>
          <w:lang w:val="en-US"/>
        </w:rPr>
        <w:t>Source: CPS, authors’ calculations.</w:t>
      </w:r>
      <w:r w:rsidR="0027775E" w:rsidRPr="00E233B9">
        <w:rPr>
          <w:rFonts w:asciiTheme="minorHAnsi" w:hAnsiTheme="minorHAnsi" w:cstheme="minorHAnsi"/>
          <w:sz w:val="20"/>
          <w:szCs w:val="20"/>
          <w:lang w:val="en-US"/>
        </w:rPr>
        <w:tab/>
      </w:r>
    </w:p>
    <w:p w14:paraId="36365A0B" w14:textId="1F713AC3" w:rsidR="00FE1374" w:rsidRDefault="00FE1374" w:rsidP="00E233B9">
      <w:pPr>
        <w:tabs>
          <w:tab w:val="left" w:pos="7213"/>
        </w:tabs>
        <w:spacing w:line="480" w:lineRule="auto"/>
        <w:jc w:val="both"/>
        <w:rPr>
          <w:rFonts w:asciiTheme="minorHAnsi" w:hAnsiTheme="minorHAnsi" w:cstheme="minorHAnsi"/>
          <w:sz w:val="20"/>
          <w:szCs w:val="20"/>
          <w:lang w:val="en-US"/>
        </w:rPr>
      </w:pPr>
    </w:p>
    <w:p w14:paraId="42953E42" w14:textId="77777777" w:rsidR="0049658B" w:rsidRDefault="0049658B" w:rsidP="0049658B">
      <w:pPr>
        <w:spacing w:line="480" w:lineRule="auto"/>
        <w:jc w:val="both"/>
        <w:rPr>
          <w:rFonts w:asciiTheme="minorHAnsi" w:hAnsiTheme="minorHAnsi" w:cstheme="minorHAnsi"/>
          <w:lang w:val="en-US"/>
        </w:rPr>
      </w:pPr>
      <w:r w:rsidRPr="00E233B9">
        <w:rPr>
          <w:rFonts w:asciiTheme="minorHAnsi" w:hAnsiTheme="minorHAnsi" w:cstheme="minorHAnsi"/>
          <w:lang w:val="en-US"/>
        </w:rPr>
        <w:t>In this second phase, concerning the cohorts of 1950-65, the ESF stagnates among higher educated but slowly continues to decrease among the lower educated leading to a decrease in the educational gap in ESF. This is followed by a third phase of a newly increasing educational gap in ESF among the cohorts born after 1965 (until 1980). The acceleration of the decreasing ESF happens at a faster pace among higher educated, increasing again the educational gap. It is thus crucial to understand what happens to the 1950/45 cohort (large educational gap) and the 1955/65 cohort (small educational gap) as these mark changes in these trends.</w:t>
      </w:r>
    </w:p>
    <w:p w14:paraId="25AF7472" w14:textId="77777777" w:rsidR="00B401B8" w:rsidRDefault="00B401B8" w:rsidP="00B401B8">
      <w:pPr>
        <w:spacing w:line="480" w:lineRule="auto"/>
        <w:jc w:val="both"/>
        <w:rPr>
          <w:rFonts w:asciiTheme="minorHAnsi" w:hAnsiTheme="minorHAnsi" w:cstheme="minorHAnsi"/>
          <w:i/>
          <w:iCs/>
          <w:lang w:val="en-US"/>
        </w:rPr>
      </w:pPr>
      <w:r w:rsidRPr="005D3251">
        <w:rPr>
          <w:rFonts w:asciiTheme="minorHAnsi" w:hAnsiTheme="minorHAnsi" w:cstheme="minorHAnsi"/>
          <w:i/>
          <w:iCs/>
          <w:lang w:val="en-US"/>
        </w:rPr>
        <w:lastRenderedPageBreak/>
        <w:t xml:space="preserve">Figure </w:t>
      </w:r>
      <w:r>
        <w:rPr>
          <w:rFonts w:asciiTheme="minorHAnsi" w:hAnsiTheme="minorHAnsi" w:cstheme="minorHAnsi"/>
          <w:i/>
          <w:iCs/>
          <w:lang w:val="en-US"/>
        </w:rPr>
        <w:t>2</w:t>
      </w:r>
      <w:r w:rsidRPr="005D3251">
        <w:rPr>
          <w:rFonts w:asciiTheme="minorHAnsi" w:hAnsiTheme="minorHAnsi" w:cstheme="minorHAnsi"/>
          <w:i/>
          <w:iCs/>
          <w:lang w:val="en-US"/>
        </w:rPr>
        <w:t xml:space="preserve">: Cohort </w:t>
      </w:r>
      <w:r>
        <w:rPr>
          <w:rFonts w:asciiTheme="minorHAnsi" w:hAnsiTheme="minorHAnsi" w:cstheme="minorHAnsi"/>
          <w:i/>
          <w:iCs/>
          <w:lang w:val="en-US"/>
        </w:rPr>
        <w:t xml:space="preserve">educational gaps </w:t>
      </w:r>
      <w:r w:rsidRPr="005D3251">
        <w:rPr>
          <w:rFonts w:asciiTheme="minorHAnsi" w:hAnsiTheme="minorHAnsi" w:cstheme="minorHAnsi"/>
          <w:i/>
          <w:iCs/>
          <w:lang w:val="en-US"/>
        </w:rPr>
        <w:t xml:space="preserve">in number of children </w:t>
      </w:r>
      <w:r>
        <w:rPr>
          <w:rFonts w:asciiTheme="minorHAnsi" w:hAnsiTheme="minorHAnsi" w:cstheme="minorHAnsi"/>
          <w:i/>
          <w:iCs/>
          <w:lang w:val="en-US"/>
        </w:rPr>
        <w:t xml:space="preserve">- </w:t>
      </w:r>
      <w:r w:rsidRPr="005D3251">
        <w:rPr>
          <w:rFonts w:asciiTheme="minorHAnsi" w:hAnsiTheme="minorHAnsi" w:cstheme="minorHAnsi"/>
          <w:i/>
          <w:iCs/>
          <w:lang w:val="en-US"/>
        </w:rPr>
        <w:t>low and high educated women (APCT</w:t>
      </w:r>
      <w:r>
        <w:rPr>
          <w:rFonts w:asciiTheme="minorHAnsi" w:hAnsiTheme="minorHAnsi" w:cstheme="minorHAnsi"/>
          <w:i/>
          <w:iCs/>
          <w:lang w:val="en-US"/>
        </w:rPr>
        <w:t>-go</w:t>
      </w:r>
      <w:r w:rsidRPr="005D3251">
        <w:rPr>
          <w:rFonts w:asciiTheme="minorHAnsi" w:hAnsiTheme="minorHAnsi" w:cstheme="minorHAnsi"/>
          <w:i/>
          <w:iCs/>
          <w:lang w:val="en-US"/>
        </w:rPr>
        <w:t>)</w:t>
      </w:r>
      <w:r>
        <w:rPr>
          <w:rFonts w:asciiTheme="minorHAnsi" w:hAnsiTheme="minorHAnsi" w:cstheme="minorHAnsi"/>
          <w:i/>
          <w:iCs/>
          <w:lang w:val="en-US"/>
        </w:rPr>
        <w:t xml:space="preserve"> CPS</w:t>
      </w:r>
    </w:p>
    <w:p w14:paraId="5712FAD3" w14:textId="77777777" w:rsidR="00B401B8" w:rsidRPr="00E233B9" w:rsidRDefault="00B401B8" w:rsidP="00FE1374">
      <w:pPr>
        <w:spacing w:line="480" w:lineRule="auto"/>
        <w:jc w:val="center"/>
        <w:rPr>
          <w:rFonts w:asciiTheme="minorHAnsi" w:hAnsiTheme="minorHAnsi" w:cstheme="minorHAnsi"/>
          <w:i/>
          <w:iCs/>
          <w:lang w:val="en-US"/>
        </w:rPr>
      </w:pPr>
      <w:r>
        <w:rPr>
          <w:rFonts w:asciiTheme="minorHAnsi" w:hAnsiTheme="minorHAnsi" w:cstheme="minorHAnsi"/>
          <w:i/>
          <w:iCs/>
          <w:noProof/>
          <w:lang w:val="en-US"/>
        </w:rPr>
        <w:drawing>
          <wp:inline distT="0" distB="0" distL="0" distR="0" wp14:anchorId="7DD9CF8D" wp14:editId="0DE85BF6">
            <wp:extent cx="4443370" cy="32539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4443370" cy="3253995"/>
                    </a:xfrm>
                    <a:prstGeom prst="rect">
                      <a:avLst/>
                    </a:prstGeom>
                    <a:noFill/>
                  </pic:spPr>
                </pic:pic>
              </a:graphicData>
            </a:graphic>
          </wp:inline>
        </w:drawing>
      </w:r>
    </w:p>
    <w:p w14:paraId="0E2D6073" w14:textId="3CAD78C3" w:rsidR="00B401B8" w:rsidRPr="00E233B9" w:rsidRDefault="00FE1374" w:rsidP="00B401B8">
      <w:pPr>
        <w:tabs>
          <w:tab w:val="left" w:pos="7213"/>
        </w:tabs>
        <w:spacing w:line="480" w:lineRule="auto"/>
        <w:jc w:val="both"/>
        <w:rPr>
          <w:rFonts w:asciiTheme="minorHAnsi" w:hAnsiTheme="minorHAnsi" w:cstheme="minorHAnsi"/>
          <w:sz w:val="20"/>
          <w:lang w:val="en-US"/>
        </w:rPr>
      </w:pPr>
      <w:r w:rsidRPr="00E233B9">
        <w:rPr>
          <w:rFonts w:asciiTheme="minorHAnsi" w:hAnsiTheme="minorHAnsi" w:cstheme="minorHAnsi"/>
          <w:sz w:val="20"/>
          <w:lang w:val="en-US"/>
        </w:rPr>
        <w:t xml:space="preserve">Note: APC-GO, uncontrolled gap in number of children in the household between low and high educated women. </w:t>
      </w:r>
      <w:r w:rsidR="00B401B8" w:rsidRPr="00E233B9">
        <w:rPr>
          <w:rFonts w:asciiTheme="minorHAnsi" w:hAnsiTheme="minorHAnsi" w:cstheme="minorHAnsi"/>
          <w:sz w:val="20"/>
          <w:szCs w:val="20"/>
          <w:lang w:val="en-US"/>
        </w:rPr>
        <w:t xml:space="preserve">Source: </w:t>
      </w:r>
      <w:r w:rsidR="00B401B8">
        <w:rPr>
          <w:rFonts w:asciiTheme="minorHAnsi" w:hAnsiTheme="minorHAnsi" w:cstheme="minorHAnsi"/>
          <w:sz w:val="20"/>
          <w:szCs w:val="20"/>
          <w:lang w:val="en-US"/>
        </w:rPr>
        <w:t xml:space="preserve">IPUMS US </w:t>
      </w:r>
      <w:proofErr w:type="gramStart"/>
      <w:r w:rsidR="00B401B8">
        <w:rPr>
          <w:rFonts w:asciiTheme="minorHAnsi" w:hAnsiTheme="minorHAnsi" w:cstheme="minorHAnsi"/>
          <w:sz w:val="20"/>
          <w:szCs w:val="20"/>
          <w:lang w:val="en-US"/>
        </w:rPr>
        <w:t>CPS  1965</w:t>
      </w:r>
      <w:proofErr w:type="gramEnd"/>
      <w:r w:rsidR="00B401B8">
        <w:rPr>
          <w:rFonts w:asciiTheme="minorHAnsi" w:hAnsiTheme="minorHAnsi" w:cstheme="minorHAnsi"/>
          <w:sz w:val="20"/>
          <w:szCs w:val="20"/>
          <w:lang w:val="en-US"/>
        </w:rPr>
        <w:t>-2017</w:t>
      </w:r>
      <w:r w:rsidR="00B401B8" w:rsidRPr="00E233B9">
        <w:rPr>
          <w:rFonts w:asciiTheme="minorHAnsi" w:hAnsiTheme="minorHAnsi" w:cstheme="minorHAnsi"/>
          <w:sz w:val="20"/>
          <w:szCs w:val="20"/>
          <w:lang w:val="en-US"/>
        </w:rPr>
        <w:t>, authors’ calculations.</w:t>
      </w:r>
      <w:r w:rsidR="00B401B8" w:rsidRPr="00E233B9">
        <w:rPr>
          <w:rFonts w:asciiTheme="minorHAnsi" w:hAnsiTheme="minorHAnsi" w:cstheme="minorHAnsi"/>
          <w:sz w:val="20"/>
          <w:szCs w:val="20"/>
          <w:lang w:val="en-US"/>
        </w:rPr>
        <w:tab/>
      </w:r>
      <w:r w:rsidR="00B401B8">
        <w:rPr>
          <w:rFonts w:asciiTheme="minorHAnsi" w:hAnsiTheme="minorHAnsi" w:cstheme="minorHAnsi"/>
          <w:sz w:val="20"/>
          <w:szCs w:val="20"/>
          <w:lang w:val="en-US"/>
        </w:rPr>
        <w:br/>
      </w:r>
    </w:p>
    <w:p w14:paraId="7C7CF722" w14:textId="14ADDC53" w:rsidR="00950A5C" w:rsidRDefault="00950A5C" w:rsidP="00E233B9">
      <w:pPr>
        <w:spacing w:line="480" w:lineRule="auto"/>
        <w:jc w:val="both"/>
        <w:rPr>
          <w:rFonts w:asciiTheme="minorHAnsi" w:hAnsiTheme="minorHAnsi" w:cstheme="minorHAnsi"/>
        </w:rPr>
      </w:pPr>
      <w:r>
        <w:rPr>
          <w:rFonts w:asciiTheme="minorHAnsi" w:hAnsiTheme="minorHAnsi" w:cstheme="minorHAnsi"/>
        </w:rPr>
        <w:t xml:space="preserve">In long run analyses, the role of education </w:t>
      </w:r>
      <w:r w:rsidR="00E8182C">
        <w:rPr>
          <w:rFonts w:asciiTheme="minorHAnsi" w:hAnsiTheme="minorHAnsi" w:cstheme="minorHAnsi"/>
        </w:rPr>
        <w:t xml:space="preserve">is often discussed: are the differences in outcomes (here: ESF) due to absolute threshold of education, or to a relative place on the scale (top/bottom decile, etc.): is education a positional good? This is of particular importance when we compare generations with </w:t>
      </w:r>
      <w:r w:rsidR="00795C0D">
        <w:rPr>
          <w:rFonts w:asciiTheme="minorHAnsi" w:hAnsiTheme="minorHAnsi" w:cstheme="minorHAnsi"/>
        </w:rPr>
        <w:t>16</w:t>
      </w:r>
      <w:r w:rsidR="00E8182C">
        <w:rPr>
          <w:rFonts w:asciiTheme="minorHAnsi" w:hAnsiTheme="minorHAnsi" w:cstheme="minorHAnsi"/>
        </w:rPr>
        <w:t xml:space="preserve">% higher educated women </w:t>
      </w:r>
      <w:r w:rsidR="00795C0D">
        <w:rPr>
          <w:rFonts w:asciiTheme="minorHAnsi" w:hAnsiTheme="minorHAnsi" w:cstheme="minorHAnsi"/>
        </w:rPr>
        <w:t xml:space="preserve">(for U.S. women of cohort born in 1920) </w:t>
      </w:r>
      <w:r w:rsidR="00E8182C">
        <w:rPr>
          <w:rFonts w:asciiTheme="minorHAnsi" w:hAnsiTheme="minorHAnsi" w:cstheme="minorHAnsi"/>
        </w:rPr>
        <w:t>with others with 6</w:t>
      </w:r>
      <w:r w:rsidR="00795C0D">
        <w:rPr>
          <w:rFonts w:asciiTheme="minorHAnsi" w:hAnsiTheme="minorHAnsi" w:cstheme="minorHAnsi"/>
        </w:rPr>
        <w:t>7</w:t>
      </w:r>
      <w:r w:rsidR="00E8182C">
        <w:rPr>
          <w:rFonts w:asciiTheme="minorHAnsi" w:hAnsiTheme="minorHAnsi" w:cstheme="minorHAnsi"/>
        </w:rPr>
        <w:t>%</w:t>
      </w:r>
      <w:r w:rsidR="00795C0D">
        <w:rPr>
          <w:rFonts w:asciiTheme="minorHAnsi" w:hAnsiTheme="minorHAnsi" w:cstheme="minorHAnsi"/>
        </w:rPr>
        <w:t xml:space="preserve"> (for U.S. women of cohort born in 1980)</w:t>
      </w:r>
      <w:r>
        <w:rPr>
          <w:rFonts w:asciiTheme="minorHAnsi" w:hAnsiTheme="minorHAnsi" w:cstheme="minorHAnsi"/>
        </w:rPr>
        <w:t>.</w:t>
      </w:r>
      <w:r w:rsidR="00E8182C">
        <w:rPr>
          <w:rFonts w:asciiTheme="minorHAnsi" w:hAnsiTheme="minorHAnsi" w:cstheme="minorHAnsi"/>
        </w:rPr>
        <w:t xml:space="preserve"> </w:t>
      </w:r>
      <w:r w:rsidR="00795C0D">
        <w:rPr>
          <w:rFonts w:asciiTheme="minorHAnsi" w:hAnsiTheme="minorHAnsi" w:cstheme="minorHAnsi"/>
        </w:rPr>
        <w:t>I</w:t>
      </w:r>
      <w:r w:rsidR="00E8182C">
        <w:rPr>
          <w:rFonts w:asciiTheme="minorHAnsi" w:hAnsiTheme="minorHAnsi" w:cstheme="minorHAnsi"/>
        </w:rPr>
        <w:t xml:space="preserve">n the American case, </w:t>
      </w:r>
      <w:r w:rsidR="00EF78E1">
        <w:rPr>
          <w:rFonts w:asciiTheme="minorHAnsi" w:hAnsiTheme="minorHAnsi" w:cstheme="minorHAnsi"/>
        </w:rPr>
        <w:t xml:space="preserve">the bump of the cohorts born in the 1960s is well established in both coding of education. </w:t>
      </w:r>
    </w:p>
    <w:p w14:paraId="12040E17" w14:textId="04ECBADA" w:rsidR="00EF78E1" w:rsidRDefault="00EF78E1" w:rsidP="00E233B9">
      <w:pPr>
        <w:spacing w:line="480" w:lineRule="auto"/>
        <w:jc w:val="both"/>
        <w:rPr>
          <w:rFonts w:asciiTheme="minorHAnsi" w:hAnsiTheme="minorHAnsi" w:cstheme="minorHAnsi"/>
          <w:i/>
          <w:lang w:val="en-US"/>
        </w:rPr>
      </w:pPr>
      <w:r>
        <w:rPr>
          <w:rFonts w:asciiTheme="minorHAnsi" w:hAnsiTheme="minorHAnsi" w:cstheme="minorHAnsi"/>
          <w:i/>
          <w:noProof/>
          <w:lang w:val="en-US"/>
        </w:rPr>
        <w:lastRenderedPageBreak/>
        <w:drawing>
          <wp:inline distT="0" distB="0" distL="0" distR="0" wp14:anchorId="2F8DEF97" wp14:editId="04DA4C3E">
            <wp:extent cx="6148674" cy="2927906"/>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6175291" cy="2940580"/>
                    </a:xfrm>
                    <a:prstGeom prst="rect">
                      <a:avLst/>
                    </a:prstGeom>
                    <a:noFill/>
                  </pic:spPr>
                </pic:pic>
              </a:graphicData>
            </a:graphic>
          </wp:inline>
        </w:drawing>
      </w:r>
    </w:p>
    <w:p w14:paraId="08C8E56F" w14:textId="77777777" w:rsidR="0049658B" w:rsidRPr="00E233B9" w:rsidRDefault="0049658B" w:rsidP="00E233B9">
      <w:pPr>
        <w:spacing w:line="480" w:lineRule="auto"/>
        <w:jc w:val="both"/>
        <w:rPr>
          <w:rFonts w:asciiTheme="minorHAnsi" w:hAnsiTheme="minorHAnsi" w:cstheme="minorHAnsi"/>
          <w:i/>
          <w:lang w:val="en-US"/>
        </w:rPr>
      </w:pPr>
    </w:p>
    <w:p w14:paraId="11CCC4E3" w14:textId="769D97D4" w:rsidR="00251DF3" w:rsidRPr="00A2707E" w:rsidRDefault="002C6DAD" w:rsidP="00251DF3">
      <w:pPr>
        <w:pStyle w:val="Heading1"/>
        <w:spacing w:line="480" w:lineRule="auto"/>
        <w:rPr>
          <w:lang w:val="en-US"/>
        </w:rPr>
      </w:pPr>
      <w:r>
        <w:rPr>
          <w:lang w:val="en-US"/>
        </w:rPr>
        <w:t>A c</w:t>
      </w:r>
      <w:r w:rsidR="00251DF3">
        <w:rPr>
          <w:lang w:val="en-US"/>
        </w:rPr>
        <w:t>ross-national comparison</w:t>
      </w:r>
      <w:r w:rsidR="00251DF3" w:rsidRPr="00A2707E">
        <w:rPr>
          <w:lang w:val="en-US"/>
        </w:rPr>
        <w:t xml:space="preserve"> </w:t>
      </w:r>
      <w:r>
        <w:rPr>
          <w:lang w:val="en-US"/>
        </w:rPr>
        <w:t xml:space="preserve">of </w:t>
      </w:r>
      <w:r w:rsidR="000A23FC" w:rsidRPr="000A23FC">
        <w:rPr>
          <w:lang w:val="en-US"/>
        </w:rPr>
        <w:t>ESF</w:t>
      </w:r>
      <w:r w:rsidR="000A23FC">
        <w:rPr>
          <w:lang w:val="en-US"/>
        </w:rPr>
        <w:t xml:space="preserve"> </w:t>
      </w:r>
      <w:r>
        <w:rPr>
          <w:lang w:val="en-US"/>
        </w:rPr>
        <w:t xml:space="preserve">in </w:t>
      </w:r>
      <w:r w:rsidR="008265E1">
        <w:rPr>
          <w:lang w:val="en-US"/>
        </w:rPr>
        <w:t>nine</w:t>
      </w:r>
      <w:r>
        <w:rPr>
          <w:lang w:val="en-US"/>
        </w:rPr>
        <w:t xml:space="preserve"> countries</w:t>
      </w:r>
    </w:p>
    <w:p w14:paraId="1BA2AF3D" w14:textId="64112A23" w:rsidR="003334D7" w:rsidRPr="00E233B9" w:rsidRDefault="00933EEE" w:rsidP="00E233B9">
      <w:pPr>
        <w:spacing w:line="480" w:lineRule="auto"/>
        <w:jc w:val="both"/>
        <w:rPr>
          <w:rFonts w:asciiTheme="minorHAnsi" w:hAnsiTheme="minorHAnsi" w:cstheme="minorHAnsi"/>
          <w:lang w:val="en-US"/>
        </w:rPr>
      </w:pPr>
      <w:r w:rsidRPr="00E233B9">
        <w:rPr>
          <w:rFonts w:asciiTheme="minorHAnsi" w:hAnsiTheme="minorHAnsi" w:cstheme="minorHAnsi"/>
          <w:lang w:val="en-US"/>
        </w:rPr>
        <w:t>We begin with providing descriptive trends of fertility among tertiary and non-tertiary educated women in nine countries</w:t>
      </w:r>
      <w:r w:rsidR="00465D3E">
        <w:rPr>
          <w:rFonts w:asciiTheme="minorHAnsi" w:hAnsiTheme="minorHAnsi" w:cstheme="minorHAnsi"/>
          <w:lang w:val="en-US"/>
        </w:rPr>
        <w:t xml:space="preserve"> (</w:t>
      </w:r>
      <w:r w:rsidRPr="00E233B9">
        <w:rPr>
          <w:rFonts w:asciiTheme="minorHAnsi" w:hAnsiTheme="minorHAnsi" w:cstheme="minorHAnsi"/>
          <w:lang w:val="en-US"/>
        </w:rPr>
        <w:t>Figure 3</w:t>
      </w:r>
      <w:r w:rsidR="00465D3E">
        <w:rPr>
          <w:rFonts w:asciiTheme="minorHAnsi" w:hAnsiTheme="minorHAnsi" w:cstheme="minorHAnsi"/>
          <w:lang w:val="en-US"/>
        </w:rPr>
        <w:t>)</w:t>
      </w:r>
      <w:r w:rsidRPr="00E233B9">
        <w:rPr>
          <w:rFonts w:asciiTheme="minorHAnsi" w:hAnsiTheme="minorHAnsi" w:cstheme="minorHAnsi"/>
          <w:lang w:val="en-US"/>
        </w:rPr>
        <w:t xml:space="preserve">. </w:t>
      </w:r>
      <w:r w:rsidR="002161BA">
        <w:rPr>
          <w:rFonts w:asciiTheme="minorHAnsi" w:hAnsiTheme="minorHAnsi" w:cstheme="minorHAnsi"/>
          <w:lang w:val="en-US"/>
        </w:rPr>
        <w:t>In many countries</w:t>
      </w:r>
      <w:r w:rsidRPr="00E233B9">
        <w:rPr>
          <w:rFonts w:asciiTheme="minorHAnsi" w:hAnsiTheme="minorHAnsi" w:cstheme="minorHAnsi"/>
          <w:lang w:val="en-US"/>
        </w:rPr>
        <w:t xml:space="preserve">, there was a decline in fertility over cohorts. The </w:t>
      </w:r>
      <w:r w:rsidR="003334D7" w:rsidRPr="00E233B9">
        <w:rPr>
          <w:rFonts w:asciiTheme="minorHAnsi" w:hAnsiTheme="minorHAnsi" w:cstheme="minorHAnsi"/>
          <w:lang w:val="en-US"/>
        </w:rPr>
        <w:t xml:space="preserve">strongest </w:t>
      </w:r>
      <w:r w:rsidRPr="00E233B9">
        <w:rPr>
          <w:rFonts w:asciiTheme="minorHAnsi" w:hAnsiTheme="minorHAnsi" w:cstheme="minorHAnsi"/>
          <w:lang w:val="en-US"/>
        </w:rPr>
        <w:t xml:space="preserve">decline </w:t>
      </w:r>
      <w:r w:rsidR="003334D7" w:rsidRPr="00E233B9">
        <w:rPr>
          <w:rFonts w:asciiTheme="minorHAnsi" w:hAnsiTheme="minorHAnsi" w:cstheme="minorHAnsi"/>
          <w:lang w:val="en-US"/>
        </w:rPr>
        <w:t xml:space="preserve">was recorded </w:t>
      </w:r>
      <w:r w:rsidRPr="00E233B9">
        <w:rPr>
          <w:rFonts w:asciiTheme="minorHAnsi" w:hAnsiTheme="minorHAnsi" w:cstheme="minorHAnsi"/>
          <w:lang w:val="en-US"/>
        </w:rPr>
        <w:t xml:space="preserve">in Taiwan </w:t>
      </w:r>
      <w:r w:rsidR="003334D7" w:rsidRPr="00E233B9">
        <w:rPr>
          <w:rFonts w:asciiTheme="minorHAnsi" w:hAnsiTheme="minorHAnsi" w:cstheme="minorHAnsi"/>
          <w:lang w:val="en-US"/>
        </w:rPr>
        <w:t>where the difference between the cohort born in 1945 and the cohort born in 1980 was more than one child in average. This is due to the relatively higher level of fertility for the oldest cohort. Taiwan, who started with the highest level of fertility in the sample, closed the gap with the other countries rapidly.</w:t>
      </w:r>
      <w:r w:rsidR="002161BA">
        <w:rPr>
          <w:rFonts w:asciiTheme="minorHAnsi" w:hAnsiTheme="minorHAnsi" w:cstheme="minorHAnsi"/>
          <w:lang w:val="en-US"/>
        </w:rPr>
        <w:t xml:space="preserve"> In the US, France and the Nordic countries, the number of children remained relatively stable across cohorts. </w:t>
      </w:r>
    </w:p>
    <w:p w14:paraId="645A7452" w14:textId="77777777" w:rsidR="0049658B" w:rsidRDefault="0049658B">
      <w:pPr>
        <w:rPr>
          <w:rFonts w:asciiTheme="minorHAnsi" w:hAnsiTheme="minorHAnsi" w:cstheme="minorHAnsi"/>
          <w:i/>
          <w:lang w:val="en-US"/>
        </w:rPr>
      </w:pPr>
      <w:r>
        <w:rPr>
          <w:rFonts w:asciiTheme="minorHAnsi" w:hAnsiTheme="minorHAnsi" w:cstheme="minorHAnsi"/>
          <w:i/>
          <w:lang w:val="en-US"/>
        </w:rPr>
        <w:br w:type="page"/>
      </w:r>
    </w:p>
    <w:p w14:paraId="76B36996" w14:textId="1E169B8F" w:rsidR="00933EEE" w:rsidRPr="00E233B9" w:rsidRDefault="00933EEE" w:rsidP="00E233B9">
      <w:pPr>
        <w:spacing w:line="480" w:lineRule="auto"/>
        <w:jc w:val="both"/>
        <w:rPr>
          <w:rFonts w:asciiTheme="minorHAnsi" w:hAnsiTheme="minorHAnsi" w:cstheme="minorHAnsi"/>
          <w:i/>
          <w:lang w:val="en-US"/>
        </w:rPr>
      </w:pPr>
      <w:r w:rsidRPr="00E233B9">
        <w:rPr>
          <w:rFonts w:asciiTheme="minorHAnsi" w:hAnsiTheme="minorHAnsi" w:cstheme="minorHAnsi"/>
          <w:i/>
          <w:lang w:val="en-US"/>
        </w:rPr>
        <w:lastRenderedPageBreak/>
        <w:t xml:space="preserve">Figure 3: Trends in </w:t>
      </w:r>
      <w:r w:rsidR="00001DB4" w:rsidRPr="00001DB4">
        <w:rPr>
          <w:rFonts w:asciiTheme="minorHAnsi" w:hAnsiTheme="minorHAnsi" w:cstheme="minorHAnsi"/>
          <w:i/>
          <w:lang w:val="en-US"/>
        </w:rPr>
        <w:t xml:space="preserve">extended social fertility (ESF) </w:t>
      </w:r>
      <w:r w:rsidRPr="00E233B9">
        <w:rPr>
          <w:rFonts w:asciiTheme="minorHAnsi" w:hAnsiTheme="minorHAnsi" w:cstheme="minorHAnsi"/>
          <w:i/>
          <w:lang w:val="en-US"/>
        </w:rPr>
        <w:t>by educational levels (tertiary</w:t>
      </w:r>
      <w:r w:rsidR="00863BA5">
        <w:rPr>
          <w:rFonts w:asciiTheme="minorHAnsi" w:hAnsiTheme="minorHAnsi" w:cstheme="minorHAnsi"/>
          <w:i/>
          <w:lang w:val="en-US"/>
        </w:rPr>
        <w:t xml:space="preserve"> </w:t>
      </w:r>
      <w:r w:rsidRPr="00E233B9">
        <w:rPr>
          <w:rFonts w:asciiTheme="minorHAnsi" w:hAnsiTheme="minorHAnsi" w:cstheme="minorHAnsi"/>
          <w:i/>
          <w:lang w:val="en-US"/>
        </w:rPr>
        <w:t>and non-tertiary) across birth cohorts among women in 9 countries</w:t>
      </w:r>
    </w:p>
    <w:p w14:paraId="3C23BDD4" w14:textId="7FA215EA" w:rsidR="006C0703" w:rsidRPr="00E233B9" w:rsidRDefault="006C0703" w:rsidP="00E233B9">
      <w:pPr>
        <w:spacing w:line="480" w:lineRule="auto"/>
        <w:jc w:val="center"/>
        <w:rPr>
          <w:rFonts w:asciiTheme="minorHAnsi" w:hAnsiTheme="minorHAnsi" w:cstheme="minorHAnsi"/>
          <w:iCs/>
          <w:lang w:val="en-US"/>
        </w:rPr>
      </w:pPr>
      <w:r w:rsidRPr="006C0703">
        <w:rPr>
          <w:rFonts w:asciiTheme="minorHAnsi" w:hAnsiTheme="minorHAnsi" w:cstheme="minorHAnsi"/>
          <w:iCs/>
          <w:noProof/>
          <w:lang w:val="en-US"/>
        </w:rPr>
        <w:drawing>
          <wp:inline distT="0" distB="0" distL="0" distR="0" wp14:anchorId="082FA507" wp14:editId="53707E48">
            <wp:extent cx="5002441" cy="3640666"/>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a:ext>
                      </a:extLst>
                    </a:blip>
                    <a:stretch>
                      <a:fillRect/>
                    </a:stretch>
                  </pic:blipFill>
                  <pic:spPr>
                    <a:xfrm>
                      <a:off x="0" y="0"/>
                      <a:ext cx="5020081" cy="3653504"/>
                    </a:xfrm>
                    <a:prstGeom prst="rect">
                      <a:avLst/>
                    </a:prstGeom>
                  </pic:spPr>
                </pic:pic>
              </a:graphicData>
            </a:graphic>
          </wp:inline>
        </w:drawing>
      </w:r>
    </w:p>
    <w:p w14:paraId="5DB5F5D7" w14:textId="1CF81D65" w:rsidR="00863BA5" w:rsidRPr="00A2707E" w:rsidRDefault="00863BA5" w:rsidP="00863BA5">
      <w:pPr>
        <w:spacing w:line="480" w:lineRule="auto"/>
        <w:jc w:val="both"/>
        <w:rPr>
          <w:rFonts w:asciiTheme="minorHAnsi" w:hAnsiTheme="minorHAnsi" w:cstheme="minorHAnsi"/>
          <w:sz w:val="20"/>
          <w:lang w:val="en-US"/>
        </w:rPr>
      </w:pPr>
      <w:r w:rsidRPr="00A2707E">
        <w:rPr>
          <w:rFonts w:asciiTheme="minorHAnsi" w:hAnsiTheme="minorHAnsi" w:cstheme="minorHAnsi"/>
          <w:sz w:val="20"/>
          <w:lang w:val="en-US"/>
        </w:rPr>
        <w:t xml:space="preserve">Source: </w:t>
      </w:r>
      <w:r>
        <w:rPr>
          <w:rFonts w:asciiTheme="minorHAnsi" w:hAnsiTheme="minorHAnsi" w:cstheme="minorHAnsi"/>
          <w:sz w:val="20"/>
          <w:lang w:val="en-US"/>
        </w:rPr>
        <w:t>LIS data</w:t>
      </w:r>
      <w:r w:rsidRPr="00A2707E">
        <w:rPr>
          <w:rFonts w:asciiTheme="minorHAnsi" w:hAnsiTheme="minorHAnsi" w:cstheme="minorHAnsi"/>
          <w:sz w:val="20"/>
          <w:lang w:val="en-US"/>
        </w:rPr>
        <w:t>, authors’ calculations.</w:t>
      </w:r>
    </w:p>
    <w:p w14:paraId="7A8F9722" w14:textId="77346B0E" w:rsidR="0041745A" w:rsidRDefault="00FE1374" w:rsidP="0041745A">
      <w:pPr>
        <w:spacing w:line="480" w:lineRule="auto"/>
        <w:jc w:val="both"/>
        <w:rPr>
          <w:rFonts w:asciiTheme="minorHAnsi" w:hAnsiTheme="minorHAnsi" w:cstheme="minorHAnsi"/>
          <w:lang w:val="en-US"/>
        </w:rPr>
      </w:pPr>
      <w:r w:rsidRPr="00E233B9">
        <w:rPr>
          <w:rFonts w:asciiTheme="minorHAnsi" w:hAnsiTheme="minorHAnsi" w:cstheme="minorHAnsi"/>
          <w:lang w:val="en-US"/>
        </w:rPr>
        <w:t xml:space="preserve">Regarding differences in fertility by educational levels, in most countries the lower educated women had more children than the higher educated.  The exception are the Nordic countries where there were almost no differences between the </w:t>
      </w:r>
      <w:r w:rsidR="002161BA">
        <w:rPr>
          <w:rFonts w:asciiTheme="minorHAnsi" w:hAnsiTheme="minorHAnsi" w:cstheme="minorHAnsi"/>
          <w:lang w:val="en-US"/>
        </w:rPr>
        <w:t xml:space="preserve">higher </w:t>
      </w:r>
      <w:r w:rsidRPr="00E233B9">
        <w:rPr>
          <w:rFonts w:asciiTheme="minorHAnsi" w:hAnsiTheme="minorHAnsi" w:cstheme="minorHAnsi"/>
          <w:lang w:val="en-US"/>
        </w:rPr>
        <w:t xml:space="preserve">educated and the </w:t>
      </w:r>
      <w:r w:rsidR="002161BA">
        <w:rPr>
          <w:rFonts w:asciiTheme="minorHAnsi" w:hAnsiTheme="minorHAnsi" w:cstheme="minorHAnsi"/>
          <w:lang w:val="en-US"/>
        </w:rPr>
        <w:t xml:space="preserve">lower </w:t>
      </w:r>
      <w:r w:rsidRPr="00E233B9">
        <w:rPr>
          <w:rFonts w:asciiTheme="minorHAnsi" w:hAnsiTheme="minorHAnsi" w:cstheme="minorHAnsi"/>
          <w:lang w:val="en-US"/>
        </w:rPr>
        <w:t>educated. This is in line with previous studies (</w:t>
      </w:r>
      <w:proofErr w:type="spellStart"/>
      <w:r w:rsidRPr="00E233B9">
        <w:rPr>
          <w:rFonts w:asciiTheme="minorHAnsi" w:hAnsiTheme="minorHAnsi" w:cstheme="minorHAnsi"/>
          <w:lang w:val="en-US"/>
        </w:rPr>
        <w:t>Andersson</w:t>
      </w:r>
      <w:proofErr w:type="spellEnd"/>
      <w:r w:rsidRPr="00E233B9">
        <w:rPr>
          <w:rFonts w:asciiTheme="minorHAnsi" w:hAnsiTheme="minorHAnsi" w:cstheme="minorHAnsi"/>
          <w:lang w:val="en-US"/>
        </w:rPr>
        <w:t xml:space="preserve"> et al. 2009)</w:t>
      </w:r>
      <w:r w:rsidR="002161BA">
        <w:rPr>
          <w:rFonts w:asciiTheme="minorHAnsi" w:hAnsiTheme="minorHAnsi" w:cstheme="minorHAnsi"/>
          <w:lang w:val="en-US"/>
        </w:rPr>
        <w:t>, which</w:t>
      </w:r>
      <w:r w:rsidRPr="00E233B9">
        <w:rPr>
          <w:rFonts w:asciiTheme="minorHAnsi" w:hAnsiTheme="minorHAnsi" w:cstheme="minorHAnsi"/>
          <w:lang w:val="en-US"/>
        </w:rPr>
        <w:t xml:space="preserve"> found no differences in fertility over educational level in the Nordic count</w:t>
      </w:r>
      <w:r w:rsidR="007107A7">
        <w:rPr>
          <w:rFonts w:asciiTheme="minorHAnsi" w:hAnsiTheme="minorHAnsi" w:cstheme="minorHAnsi"/>
          <w:lang w:val="en-US"/>
        </w:rPr>
        <w:t>r</w:t>
      </w:r>
      <w:r w:rsidRPr="00E233B9">
        <w:rPr>
          <w:rFonts w:asciiTheme="minorHAnsi" w:hAnsiTheme="minorHAnsi" w:cstheme="minorHAnsi"/>
          <w:lang w:val="en-US"/>
        </w:rPr>
        <w:t xml:space="preserve">ies, once controlling the age factor. </w:t>
      </w:r>
      <w:r w:rsidR="0041745A">
        <w:rPr>
          <w:rFonts w:asciiTheme="minorHAnsi" w:hAnsiTheme="minorHAnsi" w:cstheme="minorHAnsi"/>
          <w:lang w:val="en-US"/>
        </w:rPr>
        <w:t xml:space="preserve"> </w:t>
      </w:r>
    </w:p>
    <w:p w14:paraId="4E77CDC5" w14:textId="77777777" w:rsidR="0049658B" w:rsidRDefault="0049658B">
      <w:pPr>
        <w:rPr>
          <w:rFonts w:asciiTheme="minorHAnsi" w:hAnsiTheme="minorHAnsi" w:cstheme="minorHAnsi"/>
          <w:i/>
          <w:lang w:val="en-US"/>
        </w:rPr>
      </w:pPr>
      <w:r>
        <w:rPr>
          <w:rFonts w:asciiTheme="minorHAnsi" w:hAnsiTheme="minorHAnsi" w:cstheme="minorHAnsi"/>
          <w:i/>
          <w:lang w:val="en-US"/>
        </w:rPr>
        <w:br w:type="page"/>
      </w:r>
    </w:p>
    <w:p w14:paraId="01DCEC2C" w14:textId="7D2D508B" w:rsidR="002152D3" w:rsidRPr="00E233B9" w:rsidRDefault="002152D3" w:rsidP="00E233B9">
      <w:pPr>
        <w:spacing w:line="480" w:lineRule="auto"/>
        <w:jc w:val="both"/>
        <w:rPr>
          <w:rFonts w:asciiTheme="minorHAnsi" w:hAnsiTheme="minorHAnsi" w:cstheme="minorHAnsi"/>
          <w:i/>
          <w:lang w:val="en-US"/>
        </w:rPr>
      </w:pPr>
      <w:r w:rsidRPr="00E233B9">
        <w:rPr>
          <w:rFonts w:asciiTheme="minorHAnsi" w:hAnsiTheme="minorHAnsi" w:cstheme="minorHAnsi"/>
          <w:i/>
          <w:lang w:val="en-US"/>
        </w:rPr>
        <w:lastRenderedPageBreak/>
        <w:t>Figure</w:t>
      </w:r>
      <w:r w:rsidR="00006550" w:rsidRPr="00E233B9">
        <w:rPr>
          <w:rFonts w:asciiTheme="minorHAnsi" w:hAnsiTheme="minorHAnsi" w:cstheme="minorHAnsi"/>
          <w:i/>
          <w:lang w:val="en-US"/>
        </w:rPr>
        <w:t xml:space="preserve"> </w:t>
      </w:r>
      <w:r w:rsidR="00933EEE" w:rsidRPr="00E233B9">
        <w:rPr>
          <w:rFonts w:asciiTheme="minorHAnsi" w:hAnsiTheme="minorHAnsi" w:cstheme="minorHAnsi"/>
          <w:i/>
          <w:lang w:val="en-US"/>
        </w:rPr>
        <w:t>4</w:t>
      </w:r>
      <w:r w:rsidRPr="00E233B9">
        <w:rPr>
          <w:rFonts w:asciiTheme="minorHAnsi" w:hAnsiTheme="minorHAnsi" w:cstheme="minorHAnsi"/>
          <w:i/>
          <w:lang w:val="en-US"/>
        </w:rPr>
        <w:t>: Educational gap</w:t>
      </w:r>
      <w:r w:rsidR="00933EEE" w:rsidRPr="00E233B9">
        <w:rPr>
          <w:rFonts w:asciiTheme="minorHAnsi" w:hAnsiTheme="minorHAnsi" w:cstheme="minorHAnsi"/>
          <w:i/>
          <w:lang w:val="en-US"/>
        </w:rPr>
        <w:t xml:space="preserve"> (tertiary vs. non-tertiary)</w:t>
      </w:r>
      <w:r w:rsidRPr="00E233B9">
        <w:rPr>
          <w:rFonts w:asciiTheme="minorHAnsi" w:hAnsiTheme="minorHAnsi" w:cstheme="minorHAnsi"/>
          <w:i/>
          <w:lang w:val="en-US"/>
        </w:rPr>
        <w:t xml:space="preserve"> in </w:t>
      </w:r>
      <w:r w:rsidR="00950A5C" w:rsidRPr="00001DB4">
        <w:rPr>
          <w:rFonts w:asciiTheme="minorHAnsi" w:hAnsiTheme="minorHAnsi" w:cstheme="minorHAnsi"/>
          <w:i/>
          <w:lang w:val="en-US"/>
        </w:rPr>
        <w:t xml:space="preserve">extended social fertility (ESF) </w:t>
      </w:r>
      <w:r w:rsidRPr="00E233B9">
        <w:rPr>
          <w:rFonts w:asciiTheme="minorHAnsi" w:hAnsiTheme="minorHAnsi" w:cstheme="minorHAnsi"/>
          <w:i/>
          <w:lang w:val="en-US"/>
        </w:rPr>
        <w:t xml:space="preserve">across birth cohorts among women in </w:t>
      </w:r>
      <w:r w:rsidR="0041745A">
        <w:rPr>
          <w:rFonts w:asciiTheme="minorHAnsi" w:hAnsiTheme="minorHAnsi" w:cstheme="minorHAnsi"/>
          <w:i/>
          <w:lang w:val="en-US"/>
        </w:rPr>
        <w:t>nine</w:t>
      </w:r>
      <w:r w:rsidR="00933EEE" w:rsidRPr="00E233B9">
        <w:rPr>
          <w:rFonts w:asciiTheme="minorHAnsi" w:hAnsiTheme="minorHAnsi" w:cstheme="minorHAnsi"/>
          <w:i/>
          <w:lang w:val="en-US"/>
        </w:rPr>
        <w:t xml:space="preserve"> countries</w:t>
      </w:r>
    </w:p>
    <w:p w14:paraId="5B26F039" w14:textId="491DC802" w:rsidR="002152D3" w:rsidRPr="00E233B9" w:rsidRDefault="00A9408F" w:rsidP="00E233B9">
      <w:pPr>
        <w:spacing w:line="480" w:lineRule="auto"/>
        <w:jc w:val="center"/>
        <w:rPr>
          <w:rFonts w:asciiTheme="minorHAnsi" w:hAnsiTheme="minorHAnsi" w:cstheme="minorHAnsi"/>
          <w:lang w:val="en-US"/>
        </w:rPr>
      </w:pPr>
      <w:r w:rsidRPr="00A9408F">
        <w:rPr>
          <w:rFonts w:asciiTheme="minorHAnsi" w:hAnsiTheme="minorHAnsi" w:cstheme="minorHAnsi"/>
          <w:noProof/>
          <w:lang w:val="en-US"/>
        </w:rPr>
        <w:drawing>
          <wp:inline distT="0" distB="0" distL="0" distR="0" wp14:anchorId="319F8BDC" wp14:editId="097550C5">
            <wp:extent cx="4749283" cy="345642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a:ext>
                      </a:extLst>
                    </a:blip>
                    <a:stretch>
                      <a:fillRect/>
                    </a:stretch>
                  </pic:blipFill>
                  <pic:spPr>
                    <a:xfrm>
                      <a:off x="0" y="0"/>
                      <a:ext cx="4756781" cy="3461880"/>
                    </a:xfrm>
                    <a:prstGeom prst="rect">
                      <a:avLst/>
                    </a:prstGeom>
                  </pic:spPr>
                </pic:pic>
              </a:graphicData>
            </a:graphic>
          </wp:inline>
        </w:drawing>
      </w:r>
    </w:p>
    <w:p w14:paraId="0393FA87" w14:textId="6BFB587B" w:rsidR="002152D3" w:rsidRPr="00E233B9" w:rsidRDefault="002152D3" w:rsidP="00E233B9">
      <w:pPr>
        <w:spacing w:line="480" w:lineRule="auto"/>
        <w:jc w:val="both"/>
        <w:rPr>
          <w:rFonts w:asciiTheme="minorHAnsi" w:hAnsiTheme="minorHAnsi" w:cstheme="minorHAnsi"/>
          <w:sz w:val="20"/>
          <w:lang w:val="en-US"/>
        </w:rPr>
      </w:pPr>
      <w:r w:rsidRPr="00E233B9">
        <w:rPr>
          <w:rFonts w:asciiTheme="minorHAnsi" w:hAnsiTheme="minorHAnsi" w:cstheme="minorHAnsi"/>
          <w:sz w:val="20"/>
          <w:lang w:val="en-US"/>
        </w:rPr>
        <w:t xml:space="preserve">Source: LIS data, </w:t>
      </w:r>
      <w:r w:rsidR="0027775E" w:rsidRPr="00E233B9">
        <w:rPr>
          <w:rFonts w:asciiTheme="minorHAnsi" w:hAnsiTheme="minorHAnsi" w:cstheme="minorHAnsi"/>
          <w:sz w:val="20"/>
          <w:lang w:val="en-US"/>
        </w:rPr>
        <w:t>a</w:t>
      </w:r>
      <w:r w:rsidRPr="00E233B9">
        <w:rPr>
          <w:rFonts w:asciiTheme="minorHAnsi" w:hAnsiTheme="minorHAnsi" w:cstheme="minorHAnsi"/>
          <w:sz w:val="20"/>
          <w:lang w:val="en-US"/>
        </w:rPr>
        <w:t>uthors’ calculations</w:t>
      </w:r>
      <w:r w:rsidR="00A20BF2" w:rsidRPr="00E233B9">
        <w:rPr>
          <w:rFonts w:asciiTheme="minorHAnsi" w:hAnsiTheme="minorHAnsi" w:cstheme="minorHAnsi"/>
          <w:sz w:val="20"/>
          <w:lang w:val="en-US"/>
        </w:rPr>
        <w:t>.</w:t>
      </w:r>
      <w:r w:rsidRPr="00E233B9">
        <w:rPr>
          <w:rFonts w:asciiTheme="minorHAnsi" w:hAnsiTheme="minorHAnsi" w:cstheme="minorHAnsi"/>
          <w:sz w:val="20"/>
          <w:lang w:val="en-US"/>
        </w:rPr>
        <w:t xml:space="preserve"> </w:t>
      </w:r>
    </w:p>
    <w:p w14:paraId="5D1EA87D" w14:textId="77777777" w:rsidR="00897FB6" w:rsidRDefault="00897FB6" w:rsidP="00897FB6">
      <w:pPr>
        <w:spacing w:line="480" w:lineRule="auto"/>
        <w:jc w:val="both"/>
        <w:rPr>
          <w:rFonts w:asciiTheme="minorHAnsi" w:hAnsiTheme="minorHAnsi" w:cstheme="minorHAnsi"/>
          <w:iCs/>
          <w:lang w:val="en-US"/>
        </w:rPr>
      </w:pPr>
      <w:r>
        <w:rPr>
          <w:rFonts w:asciiTheme="minorHAnsi" w:hAnsiTheme="minorHAnsi" w:cstheme="minorHAnsi"/>
          <w:lang w:val="en-US"/>
        </w:rPr>
        <w:t xml:space="preserve">We show </w:t>
      </w:r>
      <w:r w:rsidRPr="00E233B9">
        <w:rPr>
          <w:rFonts w:asciiTheme="minorHAnsi" w:hAnsiTheme="minorHAnsi" w:cstheme="minorHAnsi"/>
          <w:iCs/>
          <w:lang w:val="en-US"/>
        </w:rPr>
        <w:t>the fertility gap between the tertiary educated and the non</w:t>
      </w:r>
      <w:r>
        <w:rPr>
          <w:rFonts w:asciiTheme="minorHAnsi" w:hAnsiTheme="minorHAnsi" w:cstheme="minorHAnsi"/>
          <w:iCs/>
          <w:lang w:val="en-US"/>
        </w:rPr>
        <w:t xml:space="preserve">-tertiary educated </w:t>
      </w:r>
      <w:r w:rsidRPr="00E233B9">
        <w:rPr>
          <w:rFonts w:asciiTheme="minorHAnsi" w:hAnsiTheme="minorHAnsi" w:cstheme="minorHAnsi"/>
          <w:iCs/>
          <w:lang w:val="en-US"/>
        </w:rPr>
        <w:t xml:space="preserve">in Figure 4. Overall, we can </w:t>
      </w:r>
      <w:r w:rsidRPr="0041745A">
        <w:rPr>
          <w:rFonts w:asciiTheme="minorHAnsi" w:hAnsiTheme="minorHAnsi" w:cstheme="minorHAnsi"/>
          <w:iCs/>
          <w:lang w:val="en-US"/>
        </w:rPr>
        <w:t xml:space="preserve">see three </w:t>
      </w:r>
      <w:r>
        <w:rPr>
          <w:rFonts w:asciiTheme="minorHAnsi" w:hAnsiTheme="minorHAnsi" w:cstheme="minorHAnsi"/>
          <w:iCs/>
          <w:lang w:val="en-US"/>
        </w:rPr>
        <w:t>key</w:t>
      </w:r>
      <w:r w:rsidRPr="00E233B9">
        <w:rPr>
          <w:rFonts w:asciiTheme="minorHAnsi" w:hAnsiTheme="minorHAnsi" w:cstheme="minorHAnsi"/>
          <w:iCs/>
          <w:lang w:val="en-US"/>
        </w:rPr>
        <w:t xml:space="preserve"> patterns. The first is </w:t>
      </w:r>
      <w:r>
        <w:rPr>
          <w:rFonts w:asciiTheme="minorHAnsi" w:hAnsiTheme="minorHAnsi" w:cstheme="minorHAnsi"/>
          <w:iCs/>
          <w:lang w:val="en-US"/>
        </w:rPr>
        <w:t>no differences in the ESF gap by education, neither in level nor in the trend with almost no significant fluctuations across cohorts. This is the case in the three Nordic countries Denmark, Finland and Norway. With the exception of the German cohort born in 1945, ESF is always higher among lower educated. But the level and the cohort trends differ across and within countries. In countries</w:t>
      </w:r>
      <w:r w:rsidRPr="0041745A">
        <w:rPr>
          <w:rFonts w:asciiTheme="minorHAnsi" w:hAnsiTheme="minorHAnsi" w:cstheme="minorHAnsi"/>
          <w:iCs/>
          <w:lang w:val="en-US"/>
        </w:rPr>
        <w:t xml:space="preserve"> </w:t>
      </w:r>
      <w:r>
        <w:rPr>
          <w:rFonts w:asciiTheme="minorHAnsi" w:hAnsiTheme="minorHAnsi" w:cstheme="minorHAnsi"/>
          <w:iCs/>
          <w:lang w:val="en-US"/>
        </w:rPr>
        <w:t xml:space="preserve">such as Taiwan, France and the US until cohort 1965, the educational differences in ESF are shrinking, while in Germany, Great Britain and Italy until cohort 1960, the educational gap is widening. </w:t>
      </w:r>
    </w:p>
    <w:p w14:paraId="4F01E725" w14:textId="2F65C30A" w:rsidR="00863BA5" w:rsidRPr="00E233B9" w:rsidRDefault="00F758E7" w:rsidP="00E233B9">
      <w:pPr>
        <w:pStyle w:val="Heading1"/>
        <w:spacing w:line="480" w:lineRule="auto"/>
        <w:rPr>
          <w:lang w:val="en-US"/>
        </w:rPr>
      </w:pPr>
      <w:r w:rsidRPr="00E233B9">
        <w:rPr>
          <w:lang w:val="en-US"/>
        </w:rPr>
        <w:lastRenderedPageBreak/>
        <w:t>Discussion</w:t>
      </w:r>
      <w:r w:rsidR="00096E33" w:rsidRPr="00E233B9">
        <w:rPr>
          <w:lang w:val="en-US"/>
        </w:rPr>
        <w:t xml:space="preserve"> </w:t>
      </w:r>
    </w:p>
    <w:p w14:paraId="2C7711E1" w14:textId="5541740B" w:rsidR="00006550" w:rsidRPr="00E233B9" w:rsidRDefault="00F437C5" w:rsidP="00E233B9">
      <w:pPr>
        <w:spacing w:line="480" w:lineRule="auto"/>
        <w:jc w:val="both"/>
        <w:rPr>
          <w:rFonts w:asciiTheme="minorHAnsi" w:hAnsiTheme="minorHAnsi" w:cstheme="minorHAnsi"/>
          <w:lang w:val="en-US"/>
        </w:rPr>
      </w:pPr>
      <w:r>
        <w:rPr>
          <w:rFonts w:asciiTheme="minorHAnsi" w:hAnsiTheme="minorHAnsi" w:cstheme="minorHAnsi"/>
          <w:lang w:val="en-US"/>
        </w:rPr>
        <w:t xml:space="preserve">This article has </w:t>
      </w:r>
      <w:proofErr w:type="spellStart"/>
      <w:r>
        <w:rPr>
          <w:rFonts w:asciiTheme="minorHAnsi" w:hAnsiTheme="minorHAnsi" w:cstheme="minorHAnsi"/>
          <w:lang w:val="en-US"/>
        </w:rPr>
        <w:t>analysed</w:t>
      </w:r>
      <w:proofErr w:type="spellEnd"/>
      <w:r>
        <w:rPr>
          <w:rFonts w:asciiTheme="minorHAnsi" w:hAnsiTheme="minorHAnsi" w:cstheme="minorHAnsi"/>
          <w:lang w:val="en-US"/>
        </w:rPr>
        <w:t xml:space="preserve"> the trends in extended social fertility (ESF), measured with a wider definition comprising the number of children living in the household, in nine countries. This definition is distinct from the demographic definition of fertility but is sociologically meaningful as it comprises not only biological children but also foster and step children. Based on our results, w</w:t>
      </w:r>
      <w:r w:rsidR="00CC68DF" w:rsidRPr="00E233B9">
        <w:rPr>
          <w:rFonts w:asciiTheme="minorHAnsi" w:hAnsiTheme="minorHAnsi" w:cstheme="minorHAnsi"/>
          <w:lang w:val="en-US"/>
        </w:rPr>
        <w:t>e conclude that there is n</w:t>
      </w:r>
      <w:r w:rsidR="00096E33" w:rsidRPr="00E233B9">
        <w:rPr>
          <w:rFonts w:asciiTheme="minorHAnsi" w:hAnsiTheme="minorHAnsi" w:cstheme="minorHAnsi"/>
          <w:lang w:val="en-US"/>
        </w:rPr>
        <w:t xml:space="preserve">o </w:t>
      </w:r>
      <w:r w:rsidR="00F137A0" w:rsidRPr="00E233B9">
        <w:rPr>
          <w:rFonts w:asciiTheme="minorHAnsi" w:hAnsiTheme="minorHAnsi" w:cstheme="minorHAnsi"/>
          <w:lang w:val="en-US"/>
        </w:rPr>
        <w:t>homogeneous</w:t>
      </w:r>
      <w:r w:rsidR="00096E33" w:rsidRPr="00E233B9">
        <w:rPr>
          <w:rFonts w:asciiTheme="minorHAnsi" w:hAnsiTheme="minorHAnsi" w:cstheme="minorHAnsi"/>
          <w:lang w:val="en-US"/>
        </w:rPr>
        <w:t xml:space="preserve"> trend </w:t>
      </w:r>
      <w:r w:rsidR="00CC68DF" w:rsidRPr="00E233B9">
        <w:rPr>
          <w:rFonts w:asciiTheme="minorHAnsi" w:hAnsiTheme="minorHAnsi" w:cstheme="minorHAnsi"/>
          <w:lang w:val="en-US"/>
        </w:rPr>
        <w:t>in the differences in the number of children between high and low-</w:t>
      </w:r>
      <w:r w:rsidR="00485B75" w:rsidRPr="00E233B9">
        <w:rPr>
          <w:rFonts w:asciiTheme="minorHAnsi" w:hAnsiTheme="minorHAnsi" w:cstheme="minorHAnsi"/>
          <w:lang w:val="en-US"/>
        </w:rPr>
        <w:t xml:space="preserve">educated women across countries and attribute our findings to </w:t>
      </w:r>
      <w:r w:rsidR="00CE35BC" w:rsidRPr="00E233B9">
        <w:rPr>
          <w:rFonts w:asciiTheme="minorHAnsi" w:hAnsiTheme="minorHAnsi" w:cstheme="minorHAnsi"/>
          <w:lang w:val="en-US"/>
        </w:rPr>
        <w:t xml:space="preserve">micro-level explanations as well as </w:t>
      </w:r>
      <w:r w:rsidR="00485B75" w:rsidRPr="00E233B9">
        <w:rPr>
          <w:rFonts w:asciiTheme="minorHAnsi" w:hAnsiTheme="minorHAnsi" w:cstheme="minorHAnsi"/>
          <w:lang w:val="en-US"/>
        </w:rPr>
        <w:t xml:space="preserve">historical </w:t>
      </w:r>
      <w:r w:rsidR="00CE35BC" w:rsidRPr="00E233B9">
        <w:rPr>
          <w:rFonts w:asciiTheme="minorHAnsi" w:hAnsiTheme="minorHAnsi" w:cstheme="minorHAnsi"/>
          <w:lang w:val="en-US"/>
        </w:rPr>
        <w:t xml:space="preserve">and institutional </w:t>
      </w:r>
      <w:r w:rsidR="00485B75" w:rsidRPr="00E233B9">
        <w:rPr>
          <w:rFonts w:asciiTheme="minorHAnsi" w:hAnsiTheme="minorHAnsi" w:cstheme="minorHAnsi"/>
          <w:lang w:val="en-US"/>
        </w:rPr>
        <w:t>contexts</w:t>
      </w:r>
      <w:r w:rsidR="00AD0578" w:rsidRPr="00E233B9">
        <w:rPr>
          <w:rFonts w:asciiTheme="minorHAnsi" w:hAnsiTheme="minorHAnsi" w:cstheme="minorHAnsi"/>
          <w:lang w:val="en-US"/>
        </w:rPr>
        <w:t xml:space="preserve"> including educational expansion</w:t>
      </w:r>
      <w:r w:rsidR="001D797A" w:rsidRPr="00E233B9">
        <w:rPr>
          <w:rFonts w:asciiTheme="minorHAnsi" w:hAnsiTheme="minorHAnsi" w:cstheme="minorHAnsi"/>
          <w:lang w:val="en-US"/>
        </w:rPr>
        <w:t xml:space="preserve"> and labor market transformations</w:t>
      </w:r>
      <w:r w:rsidR="00006550" w:rsidRPr="00E233B9">
        <w:rPr>
          <w:rFonts w:asciiTheme="minorHAnsi" w:hAnsiTheme="minorHAnsi" w:cstheme="minorHAnsi"/>
          <w:lang w:val="en-US"/>
        </w:rPr>
        <w:t>.</w:t>
      </w:r>
    </w:p>
    <w:p w14:paraId="27555D1D" w14:textId="669DFD31" w:rsidR="00DE568A" w:rsidRPr="00E233B9" w:rsidRDefault="00006550" w:rsidP="00E233B9">
      <w:pPr>
        <w:spacing w:line="480" w:lineRule="auto"/>
        <w:jc w:val="both"/>
        <w:rPr>
          <w:rFonts w:asciiTheme="minorHAnsi" w:hAnsiTheme="minorHAnsi" w:cstheme="minorHAnsi"/>
          <w:bCs/>
          <w:lang w:val="en-US"/>
        </w:rPr>
      </w:pPr>
      <w:r w:rsidRPr="00E233B9">
        <w:rPr>
          <w:rFonts w:asciiTheme="minorHAnsi" w:hAnsiTheme="minorHAnsi" w:cstheme="minorHAnsi"/>
          <w:lang w:val="en-US"/>
        </w:rPr>
        <w:t>Different</w:t>
      </w:r>
      <w:r w:rsidR="00AD0578" w:rsidRPr="00E233B9">
        <w:rPr>
          <w:rFonts w:asciiTheme="minorHAnsi" w:hAnsiTheme="minorHAnsi" w:cstheme="minorHAnsi"/>
          <w:lang w:val="en-US"/>
        </w:rPr>
        <w:t xml:space="preserve"> parallel</w:t>
      </w:r>
      <w:r w:rsidR="00DD1931" w:rsidRPr="00E233B9">
        <w:rPr>
          <w:rFonts w:asciiTheme="minorHAnsi" w:hAnsiTheme="minorHAnsi" w:cstheme="minorHAnsi"/>
          <w:lang w:val="en-US"/>
        </w:rPr>
        <w:t xml:space="preserve"> trends </w:t>
      </w:r>
      <w:r w:rsidR="00AD0578" w:rsidRPr="00E233B9">
        <w:rPr>
          <w:rFonts w:asciiTheme="minorHAnsi" w:hAnsiTheme="minorHAnsi" w:cstheme="minorHAnsi"/>
          <w:lang w:val="en-US"/>
        </w:rPr>
        <w:t>have</w:t>
      </w:r>
      <w:r w:rsidR="00DD1931" w:rsidRPr="00E233B9">
        <w:rPr>
          <w:rFonts w:asciiTheme="minorHAnsi" w:hAnsiTheme="minorHAnsi" w:cstheme="minorHAnsi"/>
          <w:lang w:val="en-US"/>
        </w:rPr>
        <w:t xml:space="preserve"> affected low and high educated differently</w:t>
      </w:r>
      <w:r w:rsidR="00AD0578" w:rsidRPr="00E233B9">
        <w:rPr>
          <w:rFonts w:asciiTheme="minorHAnsi" w:hAnsiTheme="minorHAnsi" w:cstheme="minorHAnsi"/>
          <w:lang w:val="en-US"/>
        </w:rPr>
        <w:t xml:space="preserve"> and may thus </w:t>
      </w:r>
      <w:r w:rsidR="00DD1931" w:rsidRPr="00E233B9">
        <w:rPr>
          <w:rFonts w:asciiTheme="minorHAnsi" w:hAnsiTheme="minorHAnsi" w:cstheme="minorHAnsi"/>
          <w:lang w:val="en-US"/>
        </w:rPr>
        <w:t xml:space="preserve">explain </w:t>
      </w:r>
      <w:r w:rsidR="00AD0578" w:rsidRPr="00E233B9">
        <w:rPr>
          <w:rFonts w:asciiTheme="minorHAnsi" w:hAnsiTheme="minorHAnsi" w:cstheme="minorHAnsi"/>
          <w:lang w:val="en-US"/>
        </w:rPr>
        <w:t>our</w:t>
      </w:r>
      <w:r w:rsidR="00DD1931" w:rsidRPr="00E233B9">
        <w:rPr>
          <w:rFonts w:asciiTheme="minorHAnsi" w:hAnsiTheme="minorHAnsi" w:cstheme="minorHAnsi"/>
          <w:lang w:val="en-US"/>
        </w:rPr>
        <w:t xml:space="preserve"> </w:t>
      </w:r>
      <w:r w:rsidR="00AD0578" w:rsidRPr="00E233B9">
        <w:rPr>
          <w:rFonts w:asciiTheme="minorHAnsi" w:hAnsiTheme="minorHAnsi" w:cstheme="minorHAnsi"/>
          <w:lang w:val="en-US"/>
        </w:rPr>
        <w:t>findings</w:t>
      </w:r>
      <w:r w:rsidR="002D121F" w:rsidRPr="00E233B9">
        <w:rPr>
          <w:rFonts w:asciiTheme="minorHAnsi" w:hAnsiTheme="minorHAnsi" w:cstheme="minorHAnsi"/>
          <w:lang w:val="en-US"/>
        </w:rPr>
        <w:t>, m</w:t>
      </w:r>
      <w:r w:rsidRPr="00E233B9">
        <w:rPr>
          <w:rFonts w:asciiTheme="minorHAnsi" w:hAnsiTheme="minorHAnsi" w:cstheme="minorHAnsi"/>
          <w:lang w:val="en-US"/>
        </w:rPr>
        <w:t>ost notably</w:t>
      </w:r>
      <w:r w:rsidR="001D797A" w:rsidRPr="00E233B9">
        <w:rPr>
          <w:rFonts w:asciiTheme="minorHAnsi" w:hAnsiTheme="minorHAnsi" w:cstheme="minorHAnsi"/>
          <w:lang w:val="en-US"/>
        </w:rPr>
        <w:t xml:space="preserve"> </w:t>
      </w:r>
      <w:r w:rsidR="001D797A" w:rsidRPr="00E233B9">
        <w:rPr>
          <w:rFonts w:asciiTheme="minorHAnsi" w:hAnsiTheme="minorHAnsi" w:cstheme="minorHAnsi"/>
          <w:bCs/>
          <w:lang w:val="en-US"/>
        </w:rPr>
        <w:t>the</w:t>
      </w:r>
      <w:r w:rsidR="00DE568A" w:rsidRPr="00E233B9">
        <w:rPr>
          <w:rFonts w:asciiTheme="minorHAnsi" w:hAnsiTheme="minorHAnsi" w:cstheme="minorHAnsi"/>
          <w:bCs/>
          <w:lang w:val="en-US"/>
        </w:rPr>
        <w:t xml:space="preserve"> </w:t>
      </w:r>
      <w:r w:rsidR="001D797A" w:rsidRPr="00E233B9">
        <w:rPr>
          <w:rFonts w:asciiTheme="minorHAnsi" w:hAnsiTheme="minorHAnsi" w:cstheme="minorHAnsi"/>
          <w:bCs/>
          <w:lang w:val="en-US"/>
        </w:rPr>
        <w:t xml:space="preserve">feminization of higher education. Due to the massive </w:t>
      </w:r>
      <w:r w:rsidR="00DE568A" w:rsidRPr="00E233B9">
        <w:rPr>
          <w:rFonts w:asciiTheme="minorHAnsi" w:hAnsiTheme="minorHAnsi" w:cstheme="minorHAnsi"/>
          <w:bCs/>
          <w:lang w:val="en-US"/>
        </w:rPr>
        <w:t>educational expansion</w:t>
      </w:r>
      <w:r w:rsidR="001D797A" w:rsidRPr="00E233B9">
        <w:rPr>
          <w:rFonts w:asciiTheme="minorHAnsi" w:hAnsiTheme="minorHAnsi" w:cstheme="minorHAnsi"/>
          <w:bCs/>
          <w:lang w:val="en-US"/>
        </w:rPr>
        <w:t xml:space="preserve"> of the second half of the twentieth century</w:t>
      </w:r>
      <w:r w:rsidR="00DE568A" w:rsidRPr="00E233B9">
        <w:rPr>
          <w:rFonts w:asciiTheme="minorHAnsi" w:hAnsiTheme="minorHAnsi" w:cstheme="minorHAnsi"/>
          <w:bCs/>
          <w:lang w:val="en-US"/>
        </w:rPr>
        <w:t>, women caught up and even surpassed men in terms of attainment of tertiary education</w:t>
      </w:r>
      <w:r w:rsidR="001D797A" w:rsidRPr="00E233B9">
        <w:rPr>
          <w:rFonts w:asciiTheme="minorHAnsi" w:hAnsiTheme="minorHAnsi" w:cstheme="minorHAnsi"/>
          <w:bCs/>
          <w:lang w:val="en-US"/>
        </w:rPr>
        <w:t xml:space="preserve"> (</w:t>
      </w:r>
      <w:proofErr w:type="spellStart"/>
      <w:r w:rsidR="001D797A" w:rsidRPr="00E233B9">
        <w:rPr>
          <w:rFonts w:asciiTheme="minorHAnsi" w:hAnsiTheme="minorHAnsi" w:cstheme="minorHAnsi"/>
          <w:bCs/>
          <w:lang w:val="en-US"/>
        </w:rPr>
        <w:t>DiPrete</w:t>
      </w:r>
      <w:proofErr w:type="spellEnd"/>
      <w:r w:rsidR="001D797A" w:rsidRPr="00E233B9">
        <w:rPr>
          <w:rFonts w:asciiTheme="minorHAnsi" w:hAnsiTheme="minorHAnsi" w:cstheme="minorHAnsi"/>
          <w:bCs/>
          <w:lang w:val="en-US"/>
        </w:rPr>
        <w:t xml:space="preserve"> and Buchman 2013)</w:t>
      </w:r>
      <w:r w:rsidR="00DE568A" w:rsidRPr="00E233B9">
        <w:rPr>
          <w:rFonts w:asciiTheme="minorHAnsi" w:hAnsiTheme="minorHAnsi" w:cstheme="minorHAnsi"/>
          <w:bCs/>
          <w:lang w:val="en-US"/>
        </w:rPr>
        <w:t>. T</w:t>
      </w:r>
      <w:r w:rsidR="0027775E" w:rsidRPr="00E233B9">
        <w:rPr>
          <w:rFonts w:asciiTheme="minorHAnsi" w:hAnsiTheme="minorHAnsi" w:cstheme="minorHAnsi"/>
          <w:bCs/>
          <w:lang w:val="en-US"/>
        </w:rPr>
        <w:t>he educational expansion began earlier</w:t>
      </w:r>
      <w:r w:rsidR="00DE568A" w:rsidRPr="00E233B9">
        <w:rPr>
          <w:rFonts w:asciiTheme="minorHAnsi" w:hAnsiTheme="minorHAnsi" w:cstheme="minorHAnsi"/>
          <w:bCs/>
          <w:lang w:val="en-US"/>
        </w:rPr>
        <w:t xml:space="preserve"> in the US than in other countries starting with </w:t>
      </w:r>
      <w:r w:rsidR="0027775E" w:rsidRPr="00E233B9">
        <w:rPr>
          <w:rFonts w:asciiTheme="minorHAnsi" w:hAnsiTheme="minorHAnsi" w:cstheme="minorHAnsi"/>
          <w:bCs/>
          <w:lang w:val="en-US"/>
        </w:rPr>
        <w:t xml:space="preserve">the cohorts </w:t>
      </w:r>
      <w:r w:rsidR="00DE568A" w:rsidRPr="00E233B9">
        <w:rPr>
          <w:rFonts w:asciiTheme="minorHAnsi" w:hAnsiTheme="minorHAnsi" w:cstheme="minorHAnsi"/>
          <w:bCs/>
          <w:lang w:val="en-US"/>
        </w:rPr>
        <w:t>born in</w:t>
      </w:r>
      <w:r w:rsidR="0027775E" w:rsidRPr="00E233B9">
        <w:rPr>
          <w:rFonts w:asciiTheme="minorHAnsi" w:hAnsiTheme="minorHAnsi" w:cstheme="minorHAnsi"/>
          <w:bCs/>
          <w:lang w:val="en-US"/>
        </w:rPr>
        <w:t xml:space="preserve"> 1960-1965</w:t>
      </w:r>
      <w:r w:rsidR="00DE568A" w:rsidRPr="00E233B9">
        <w:rPr>
          <w:rFonts w:asciiTheme="minorHAnsi" w:hAnsiTheme="minorHAnsi" w:cstheme="minorHAnsi"/>
          <w:bCs/>
          <w:lang w:val="en-US"/>
        </w:rPr>
        <w:t>,</w:t>
      </w:r>
      <w:r w:rsidR="0027775E" w:rsidRPr="00E233B9">
        <w:rPr>
          <w:rFonts w:asciiTheme="minorHAnsi" w:hAnsiTheme="minorHAnsi" w:cstheme="minorHAnsi"/>
          <w:bCs/>
          <w:lang w:val="en-US"/>
        </w:rPr>
        <w:t xml:space="preserve"> </w:t>
      </w:r>
      <w:r w:rsidR="00DE568A" w:rsidRPr="00E233B9">
        <w:rPr>
          <w:rFonts w:asciiTheme="minorHAnsi" w:hAnsiTheme="minorHAnsi" w:cstheme="minorHAnsi"/>
          <w:bCs/>
          <w:lang w:val="en-US"/>
        </w:rPr>
        <w:t>while i</w:t>
      </w:r>
      <w:r w:rsidR="0027775E" w:rsidRPr="00E233B9">
        <w:rPr>
          <w:rFonts w:asciiTheme="minorHAnsi" w:hAnsiTheme="minorHAnsi" w:cstheme="minorHAnsi"/>
          <w:bCs/>
          <w:lang w:val="en-US"/>
        </w:rPr>
        <w:t xml:space="preserve">n </w:t>
      </w:r>
      <w:r w:rsidR="00DE568A" w:rsidRPr="00E233B9">
        <w:rPr>
          <w:rFonts w:asciiTheme="minorHAnsi" w:hAnsiTheme="minorHAnsi" w:cstheme="minorHAnsi"/>
          <w:bCs/>
          <w:lang w:val="en-US"/>
        </w:rPr>
        <w:t xml:space="preserve">Finland and </w:t>
      </w:r>
      <w:r w:rsidR="0027775E" w:rsidRPr="00E233B9">
        <w:rPr>
          <w:rFonts w:asciiTheme="minorHAnsi" w:hAnsiTheme="minorHAnsi" w:cstheme="minorHAnsi"/>
          <w:bCs/>
          <w:lang w:val="en-US"/>
        </w:rPr>
        <w:t>Israel, the expansion was not linear, with a substantial shift in the proportion with tertiary education for the cohorts born in 1970-1975</w:t>
      </w:r>
      <w:r w:rsidR="00DE568A" w:rsidRPr="00E233B9">
        <w:rPr>
          <w:rFonts w:asciiTheme="minorHAnsi" w:hAnsiTheme="minorHAnsi" w:cstheme="minorHAnsi"/>
          <w:bCs/>
          <w:lang w:val="en-US"/>
        </w:rPr>
        <w:t xml:space="preserve"> (Bar-Haim et al. 2017)</w:t>
      </w:r>
      <w:r w:rsidR="0027775E" w:rsidRPr="00E233B9">
        <w:rPr>
          <w:rFonts w:asciiTheme="minorHAnsi" w:hAnsiTheme="minorHAnsi" w:cstheme="minorHAnsi"/>
          <w:bCs/>
          <w:lang w:val="en-US"/>
        </w:rPr>
        <w:t xml:space="preserve">. </w:t>
      </w:r>
      <w:r w:rsidR="00DE568A" w:rsidRPr="00E233B9">
        <w:rPr>
          <w:rFonts w:asciiTheme="minorHAnsi" w:hAnsiTheme="minorHAnsi" w:cstheme="minorHAnsi"/>
          <w:bCs/>
          <w:lang w:val="en-US"/>
        </w:rPr>
        <w:t xml:space="preserve">A </w:t>
      </w:r>
      <w:r w:rsidR="0027775E" w:rsidRPr="00E233B9">
        <w:rPr>
          <w:rFonts w:asciiTheme="minorHAnsi" w:hAnsiTheme="minorHAnsi" w:cstheme="minorHAnsi"/>
          <w:bCs/>
          <w:lang w:val="en-US"/>
        </w:rPr>
        <w:t>massive educational expansion</w:t>
      </w:r>
      <w:r w:rsidR="001D797A" w:rsidRPr="00E233B9">
        <w:rPr>
          <w:rFonts w:asciiTheme="minorHAnsi" w:hAnsiTheme="minorHAnsi" w:cstheme="minorHAnsi"/>
          <w:bCs/>
          <w:lang w:val="en-US"/>
        </w:rPr>
        <w:t>, and thus feminization,</w:t>
      </w:r>
      <w:r w:rsidR="0027775E" w:rsidRPr="00E233B9">
        <w:rPr>
          <w:rFonts w:asciiTheme="minorHAnsi" w:hAnsiTheme="minorHAnsi" w:cstheme="minorHAnsi"/>
          <w:bCs/>
          <w:lang w:val="en-US"/>
        </w:rPr>
        <w:t xml:space="preserve"> occurred </w:t>
      </w:r>
      <w:r w:rsidR="00DE568A" w:rsidRPr="00E233B9">
        <w:rPr>
          <w:rFonts w:asciiTheme="minorHAnsi" w:hAnsiTheme="minorHAnsi" w:cstheme="minorHAnsi"/>
          <w:bCs/>
          <w:lang w:val="en-US"/>
        </w:rPr>
        <w:t xml:space="preserve">in many countries </w:t>
      </w:r>
      <w:r w:rsidR="0027775E" w:rsidRPr="00E233B9">
        <w:rPr>
          <w:rFonts w:asciiTheme="minorHAnsi" w:hAnsiTheme="minorHAnsi" w:cstheme="minorHAnsi"/>
          <w:bCs/>
          <w:lang w:val="en-US"/>
        </w:rPr>
        <w:t>during the 1990’s, when these cohorts entered the higher education system (</w:t>
      </w:r>
      <w:proofErr w:type="spellStart"/>
      <w:r w:rsidR="0027775E" w:rsidRPr="00E233B9">
        <w:rPr>
          <w:rFonts w:asciiTheme="minorHAnsi" w:hAnsiTheme="minorHAnsi" w:cstheme="minorHAnsi"/>
          <w:bCs/>
          <w:lang w:val="en-US"/>
        </w:rPr>
        <w:t>Marginson</w:t>
      </w:r>
      <w:proofErr w:type="spellEnd"/>
      <w:r w:rsidR="0027775E" w:rsidRPr="00E233B9">
        <w:rPr>
          <w:rFonts w:asciiTheme="minorHAnsi" w:hAnsiTheme="minorHAnsi" w:cstheme="minorHAnsi"/>
          <w:bCs/>
          <w:lang w:val="en-US"/>
        </w:rPr>
        <w:t xml:space="preserve"> 2016, Liu, </w:t>
      </w:r>
      <w:proofErr w:type="gramStart"/>
      <w:r w:rsidR="0027775E" w:rsidRPr="00E233B9">
        <w:rPr>
          <w:rFonts w:asciiTheme="minorHAnsi" w:hAnsiTheme="minorHAnsi" w:cstheme="minorHAnsi"/>
          <w:bCs/>
          <w:lang w:val="en-US"/>
        </w:rPr>
        <w:t>Green</w:t>
      </w:r>
      <w:proofErr w:type="gramEnd"/>
      <w:r w:rsidR="0027775E" w:rsidRPr="00E233B9">
        <w:rPr>
          <w:rFonts w:asciiTheme="minorHAnsi" w:hAnsiTheme="minorHAnsi" w:cstheme="minorHAnsi"/>
          <w:bCs/>
          <w:lang w:val="en-US"/>
        </w:rPr>
        <w:t xml:space="preserve"> &amp; </w:t>
      </w:r>
      <w:proofErr w:type="spellStart"/>
      <w:r w:rsidR="0027775E" w:rsidRPr="00E233B9">
        <w:rPr>
          <w:rFonts w:asciiTheme="minorHAnsi" w:hAnsiTheme="minorHAnsi" w:cstheme="minorHAnsi"/>
          <w:bCs/>
          <w:lang w:val="en-US"/>
        </w:rPr>
        <w:t>Pensiero</w:t>
      </w:r>
      <w:proofErr w:type="spellEnd"/>
      <w:r w:rsidR="0027775E" w:rsidRPr="00E233B9">
        <w:rPr>
          <w:rFonts w:asciiTheme="minorHAnsi" w:hAnsiTheme="minorHAnsi" w:cstheme="minorHAnsi"/>
          <w:bCs/>
          <w:lang w:val="en-US"/>
        </w:rPr>
        <w:t xml:space="preserve"> 2016).</w:t>
      </w:r>
      <w:r w:rsidR="00DE568A" w:rsidRPr="00E233B9">
        <w:rPr>
          <w:rFonts w:asciiTheme="minorHAnsi" w:hAnsiTheme="minorHAnsi" w:cstheme="minorHAnsi"/>
          <w:bCs/>
          <w:lang w:val="en-US"/>
        </w:rPr>
        <w:t xml:space="preserve"> </w:t>
      </w:r>
    </w:p>
    <w:p w14:paraId="57502AC9" w14:textId="6923A15D" w:rsidR="00F43810" w:rsidRPr="00E233B9" w:rsidRDefault="00DE568A" w:rsidP="00E233B9">
      <w:pPr>
        <w:spacing w:line="480" w:lineRule="auto"/>
        <w:jc w:val="both"/>
        <w:rPr>
          <w:rFonts w:asciiTheme="minorHAnsi" w:hAnsiTheme="minorHAnsi" w:cstheme="minorHAnsi"/>
          <w:bCs/>
          <w:lang w:val="en-US"/>
        </w:rPr>
      </w:pPr>
      <w:r w:rsidRPr="00E233B9">
        <w:rPr>
          <w:rFonts w:asciiTheme="minorHAnsi" w:hAnsiTheme="minorHAnsi" w:cstheme="minorHAnsi"/>
          <w:bCs/>
          <w:lang w:val="en-US"/>
        </w:rPr>
        <w:t xml:space="preserve">With increasing educational credentials and skills, also </w:t>
      </w:r>
      <w:proofErr w:type="spellStart"/>
      <w:r w:rsidRPr="00E233B9">
        <w:rPr>
          <w:rFonts w:asciiTheme="minorHAnsi" w:hAnsiTheme="minorHAnsi" w:cstheme="minorHAnsi"/>
          <w:bCs/>
          <w:lang w:val="en-US"/>
        </w:rPr>
        <w:t>labour</w:t>
      </w:r>
      <w:proofErr w:type="spellEnd"/>
      <w:r w:rsidRPr="00E233B9">
        <w:rPr>
          <w:rFonts w:asciiTheme="minorHAnsi" w:hAnsiTheme="minorHAnsi" w:cstheme="minorHAnsi"/>
          <w:bCs/>
          <w:lang w:val="en-US"/>
        </w:rPr>
        <w:t xml:space="preserve"> market participation has increased among women. Due to longer time spent in education and increasing shares of women in work, family decisions including childbearing have been postponed.</w:t>
      </w:r>
      <w:r w:rsidR="00F43810" w:rsidRPr="00E233B9">
        <w:rPr>
          <w:rFonts w:asciiTheme="minorHAnsi" w:hAnsiTheme="minorHAnsi" w:cstheme="minorHAnsi"/>
          <w:bCs/>
          <w:lang w:val="en-US"/>
        </w:rPr>
        <w:t xml:space="preserve"> This effect should be visible as a widening educational gap as ESF of higher educated women slows down.</w:t>
      </w:r>
      <w:r w:rsidR="00006550" w:rsidRPr="00E233B9">
        <w:rPr>
          <w:rFonts w:asciiTheme="minorHAnsi" w:hAnsiTheme="minorHAnsi" w:cstheme="minorHAnsi"/>
          <w:bCs/>
          <w:lang w:val="en-US"/>
        </w:rPr>
        <w:t xml:space="preserve"> Given biological fertility limits (age) also the introduction of technologies improving fertility are likely to play a relevant role. </w:t>
      </w:r>
    </w:p>
    <w:p w14:paraId="298B1E30" w14:textId="1034A12C" w:rsidR="00863BA5" w:rsidRDefault="00006550" w:rsidP="001E0B60">
      <w:pPr>
        <w:spacing w:line="480" w:lineRule="auto"/>
        <w:jc w:val="both"/>
        <w:rPr>
          <w:rFonts w:asciiTheme="minorHAnsi" w:hAnsiTheme="minorHAnsi" w:cstheme="minorHAnsi"/>
          <w:lang w:val="en-US"/>
        </w:rPr>
      </w:pPr>
      <w:r w:rsidRPr="00E233B9">
        <w:rPr>
          <w:rFonts w:asciiTheme="minorHAnsi" w:hAnsiTheme="minorHAnsi" w:cstheme="minorHAnsi"/>
          <w:lang w:val="en-US"/>
        </w:rPr>
        <w:lastRenderedPageBreak/>
        <w:t>Likewise, b</w:t>
      </w:r>
      <w:r w:rsidR="0027775E" w:rsidRPr="00E233B9">
        <w:rPr>
          <w:rFonts w:asciiTheme="minorHAnsi" w:hAnsiTheme="minorHAnsi" w:cstheme="minorHAnsi"/>
          <w:lang w:val="en-US"/>
        </w:rPr>
        <w:t xml:space="preserve">irth prevention technology and changes in family </w:t>
      </w:r>
      <w:proofErr w:type="spellStart"/>
      <w:r w:rsidR="0027775E" w:rsidRPr="00E233B9">
        <w:rPr>
          <w:rFonts w:asciiTheme="minorHAnsi" w:hAnsiTheme="minorHAnsi" w:cstheme="minorHAnsi"/>
          <w:lang w:val="en-US"/>
        </w:rPr>
        <w:t>recomposition</w:t>
      </w:r>
      <w:proofErr w:type="spellEnd"/>
      <w:r w:rsidR="0027775E" w:rsidRPr="00E233B9">
        <w:rPr>
          <w:rFonts w:asciiTheme="minorHAnsi" w:hAnsiTheme="minorHAnsi" w:cstheme="minorHAnsi"/>
          <w:lang w:val="en-US"/>
        </w:rPr>
        <w:t xml:space="preserve"> behavior may have affected the ESF of both educational groups differently. </w:t>
      </w:r>
      <w:r w:rsidR="009A590B" w:rsidRPr="00E233B9">
        <w:rPr>
          <w:rFonts w:asciiTheme="minorHAnsi" w:hAnsiTheme="minorHAnsi" w:cstheme="minorHAnsi"/>
          <w:lang w:val="en-US"/>
        </w:rPr>
        <w:t>Although b</w:t>
      </w:r>
      <w:r w:rsidR="00AE7E7B" w:rsidRPr="00E233B9">
        <w:rPr>
          <w:rFonts w:asciiTheme="minorHAnsi" w:hAnsiTheme="minorHAnsi" w:cstheme="minorHAnsi"/>
          <w:lang w:val="en-US"/>
        </w:rPr>
        <w:t>irth control</w:t>
      </w:r>
      <w:r w:rsidR="009A590B" w:rsidRPr="00E233B9">
        <w:rPr>
          <w:rFonts w:asciiTheme="minorHAnsi" w:hAnsiTheme="minorHAnsi" w:cstheme="minorHAnsi"/>
          <w:lang w:val="en-US"/>
        </w:rPr>
        <w:t xml:space="preserve"> was available since the 1960s, it</w:t>
      </w:r>
      <w:r w:rsidR="00AE7E7B" w:rsidRPr="00E233B9">
        <w:rPr>
          <w:rFonts w:asciiTheme="minorHAnsi" w:hAnsiTheme="minorHAnsi" w:cstheme="minorHAnsi"/>
          <w:lang w:val="en-US"/>
        </w:rPr>
        <w:t xml:space="preserve"> was not legalized for all women in the entire US until</w:t>
      </w:r>
      <w:r w:rsidR="009A590B" w:rsidRPr="00E233B9">
        <w:rPr>
          <w:rFonts w:asciiTheme="minorHAnsi" w:hAnsiTheme="minorHAnsi" w:cstheme="minorHAnsi"/>
          <w:lang w:val="en-US"/>
        </w:rPr>
        <w:t xml:space="preserve"> </w:t>
      </w:r>
      <w:r w:rsidR="00AE7E7B" w:rsidRPr="00E233B9">
        <w:rPr>
          <w:rFonts w:asciiTheme="minorHAnsi" w:hAnsiTheme="minorHAnsi" w:cstheme="minorHAnsi"/>
          <w:lang w:val="en-US"/>
        </w:rPr>
        <w:t>1972</w:t>
      </w:r>
      <w:r w:rsidR="009A590B" w:rsidRPr="00E233B9">
        <w:rPr>
          <w:rFonts w:asciiTheme="minorHAnsi" w:hAnsiTheme="minorHAnsi" w:cstheme="minorHAnsi"/>
          <w:lang w:val="en-US"/>
        </w:rPr>
        <w:t xml:space="preserve">. Increasing levels of education among women and postponement of marriage were </w:t>
      </w:r>
      <w:r w:rsidR="00ED1C9F" w:rsidRPr="00E233B9">
        <w:rPr>
          <w:rFonts w:asciiTheme="minorHAnsi" w:hAnsiTheme="minorHAnsi" w:cstheme="minorHAnsi"/>
          <w:lang w:val="en-US"/>
        </w:rPr>
        <w:t>consequences that have</w:t>
      </w:r>
      <w:r w:rsidR="009A590B" w:rsidRPr="00E233B9">
        <w:rPr>
          <w:rFonts w:asciiTheme="minorHAnsi" w:hAnsiTheme="minorHAnsi" w:cstheme="minorHAnsi"/>
          <w:lang w:val="en-US"/>
        </w:rPr>
        <w:t xml:space="preserve"> been labelled as the “power of the pill” </w:t>
      </w:r>
      <w:r w:rsidR="00AE7E7B" w:rsidRPr="00E233B9">
        <w:rPr>
          <w:rFonts w:asciiTheme="minorHAnsi" w:hAnsiTheme="minorHAnsi" w:cstheme="minorHAnsi"/>
          <w:lang w:val="en-US"/>
        </w:rPr>
        <w:t>(Goldin and Katz 2002)</w:t>
      </w:r>
      <w:r w:rsidR="000B30BE" w:rsidRPr="00E233B9">
        <w:rPr>
          <w:rFonts w:asciiTheme="minorHAnsi" w:hAnsiTheme="minorHAnsi" w:cstheme="minorHAnsi"/>
          <w:lang w:val="en-US"/>
        </w:rPr>
        <w:t xml:space="preserve">. </w:t>
      </w:r>
      <w:r w:rsidR="004A7B85" w:rsidRPr="00E233B9">
        <w:rPr>
          <w:rFonts w:asciiTheme="minorHAnsi" w:hAnsiTheme="minorHAnsi" w:cstheme="minorHAnsi"/>
          <w:lang w:val="en-US"/>
        </w:rPr>
        <w:t xml:space="preserve">Besides diverging family preferences and choices, also the prevalence of unintended pregnancies has been found to higher among the low educated, being one possible reason for higher number of children among lower educated women. </w:t>
      </w:r>
      <w:r w:rsidR="002D121F" w:rsidRPr="00E233B9">
        <w:rPr>
          <w:rFonts w:asciiTheme="minorHAnsi" w:hAnsiTheme="minorHAnsi" w:cstheme="minorHAnsi"/>
          <w:lang w:val="en-US"/>
        </w:rPr>
        <w:t>Then also t</w:t>
      </w:r>
      <w:r w:rsidR="00DD1931" w:rsidRPr="00E233B9">
        <w:rPr>
          <w:rFonts w:asciiTheme="minorHAnsi" w:hAnsiTheme="minorHAnsi" w:cstheme="minorHAnsi"/>
          <w:lang w:val="en-US"/>
        </w:rPr>
        <w:t xml:space="preserve">he legalization of abortion in 1973 in the US may have affected the educational gap in ESF as lower educated </w:t>
      </w:r>
      <w:r w:rsidR="00F0259F" w:rsidRPr="00E233B9">
        <w:rPr>
          <w:rFonts w:asciiTheme="minorHAnsi" w:hAnsiTheme="minorHAnsi" w:cstheme="minorHAnsi"/>
          <w:lang w:val="en-US"/>
        </w:rPr>
        <w:t xml:space="preserve">or women from lower income groups </w:t>
      </w:r>
      <w:r w:rsidR="00DD1931" w:rsidRPr="00E233B9">
        <w:rPr>
          <w:rFonts w:asciiTheme="minorHAnsi" w:hAnsiTheme="minorHAnsi" w:cstheme="minorHAnsi"/>
          <w:lang w:val="en-US"/>
        </w:rPr>
        <w:t>seem to be more likely to have an abortion</w:t>
      </w:r>
      <w:r w:rsidR="00F0259F" w:rsidRPr="00E233B9">
        <w:rPr>
          <w:rFonts w:asciiTheme="minorHAnsi" w:hAnsiTheme="minorHAnsi" w:cstheme="minorHAnsi"/>
          <w:lang w:val="en-US"/>
        </w:rPr>
        <w:t xml:space="preserve"> (</w:t>
      </w:r>
      <w:proofErr w:type="spellStart"/>
      <w:r w:rsidR="00F0259F" w:rsidRPr="00E233B9">
        <w:rPr>
          <w:rFonts w:asciiTheme="minorHAnsi" w:hAnsiTheme="minorHAnsi" w:cstheme="minorHAnsi"/>
          <w:lang w:val="en-US"/>
        </w:rPr>
        <w:t>Väisänen</w:t>
      </w:r>
      <w:proofErr w:type="spellEnd"/>
      <w:r w:rsidR="00F0259F" w:rsidRPr="00E233B9">
        <w:rPr>
          <w:rFonts w:asciiTheme="minorHAnsi" w:hAnsiTheme="minorHAnsi" w:cstheme="minorHAnsi"/>
          <w:lang w:val="en-US"/>
        </w:rPr>
        <w:t xml:space="preserve"> 2015, </w:t>
      </w:r>
      <w:proofErr w:type="spellStart"/>
      <w:r w:rsidR="00F0259F" w:rsidRPr="00E233B9">
        <w:rPr>
          <w:rFonts w:asciiTheme="minorHAnsi" w:hAnsiTheme="minorHAnsi" w:cstheme="minorHAnsi"/>
          <w:lang w:val="en-US"/>
        </w:rPr>
        <w:t>Jerman</w:t>
      </w:r>
      <w:proofErr w:type="spellEnd"/>
      <w:r w:rsidR="00F0259F" w:rsidRPr="00E233B9">
        <w:rPr>
          <w:rFonts w:asciiTheme="minorHAnsi" w:hAnsiTheme="minorHAnsi" w:cstheme="minorHAnsi"/>
          <w:lang w:val="en-US"/>
        </w:rPr>
        <w:t xml:space="preserve"> et al</w:t>
      </w:r>
      <w:r w:rsidR="00A275A9" w:rsidRPr="00E233B9">
        <w:rPr>
          <w:rFonts w:asciiTheme="minorHAnsi" w:hAnsiTheme="minorHAnsi" w:cstheme="minorHAnsi"/>
          <w:lang w:val="en-US"/>
        </w:rPr>
        <w:t>.</w:t>
      </w:r>
      <w:r w:rsidR="00F0259F" w:rsidRPr="00E233B9">
        <w:rPr>
          <w:rFonts w:asciiTheme="minorHAnsi" w:hAnsiTheme="minorHAnsi" w:cstheme="minorHAnsi"/>
          <w:lang w:val="en-US"/>
        </w:rPr>
        <w:t xml:space="preserve"> 2016).</w:t>
      </w:r>
      <w:r w:rsidR="00F0259F" w:rsidRPr="00E233B9">
        <w:rPr>
          <w:rStyle w:val="FootnoteReference"/>
          <w:rFonts w:asciiTheme="minorHAnsi" w:hAnsiTheme="minorHAnsi" w:cstheme="minorHAnsi"/>
          <w:lang w:val="en-US"/>
        </w:rPr>
        <w:footnoteReference w:id="4"/>
      </w:r>
      <w:r w:rsidR="00B41DD3" w:rsidRPr="00E233B9">
        <w:rPr>
          <w:rFonts w:asciiTheme="minorHAnsi" w:hAnsiTheme="minorHAnsi" w:cstheme="minorHAnsi"/>
          <w:lang w:val="en-US"/>
        </w:rPr>
        <w:t xml:space="preserve"> </w:t>
      </w:r>
      <w:proofErr w:type="spellStart"/>
      <w:r w:rsidR="00C127C2" w:rsidRPr="00E233B9">
        <w:rPr>
          <w:rFonts w:asciiTheme="minorHAnsi" w:hAnsiTheme="minorHAnsi" w:cstheme="minorHAnsi"/>
          <w:lang w:val="en-US"/>
        </w:rPr>
        <w:t>Jerman</w:t>
      </w:r>
      <w:proofErr w:type="spellEnd"/>
      <w:r w:rsidR="00C127C2" w:rsidRPr="00E233B9">
        <w:rPr>
          <w:rFonts w:asciiTheme="minorHAnsi" w:hAnsiTheme="minorHAnsi" w:cstheme="minorHAnsi"/>
          <w:lang w:val="en-US"/>
        </w:rPr>
        <w:t xml:space="preserve"> et al</w:t>
      </w:r>
      <w:r w:rsidR="00F93944" w:rsidRPr="00E233B9">
        <w:rPr>
          <w:rFonts w:asciiTheme="minorHAnsi" w:hAnsiTheme="minorHAnsi" w:cstheme="minorHAnsi"/>
          <w:lang w:val="en-US"/>
        </w:rPr>
        <w:t>.</w:t>
      </w:r>
      <w:r w:rsidR="00C127C2" w:rsidRPr="00E233B9">
        <w:rPr>
          <w:rFonts w:asciiTheme="minorHAnsi" w:hAnsiTheme="minorHAnsi" w:cstheme="minorHAnsi"/>
          <w:lang w:val="en-US"/>
        </w:rPr>
        <w:t xml:space="preserve"> (2014) report that three out of four abortion patients </w:t>
      </w:r>
      <w:r w:rsidR="003B13BF" w:rsidRPr="00E233B9">
        <w:rPr>
          <w:rFonts w:asciiTheme="minorHAnsi" w:hAnsiTheme="minorHAnsi" w:cstheme="minorHAnsi"/>
          <w:lang w:val="en-US"/>
        </w:rPr>
        <w:t>in the US</w:t>
      </w:r>
      <w:r w:rsidR="00AE7E7B" w:rsidRPr="00E233B9">
        <w:rPr>
          <w:rFonts w:asciiTheme="minorHAnsi" w:hAnsiTheme="minorHAnsi" w:cstheme="minorHAnsi"/>
          <w:lang w:val="en-US"/>
        </w:rPr>
        <w:t xml:space="preserve"> </w:t>
      </w:r>
      <w:r w:rsidR="00C127C2" w:rsidRPr="00E233B9">
        <w:rPr>
          <w:rFonts w:asciiTheme="minorHAnsi" w:hAnsiTheme="minorHAnsi" w:cstheme="minorHAnsi"/>
          <w:lang w:val="en-US"/>
        </w:rPr>
        <w:t>were low income in 2014: about half in poverty and another quarter below 200% of the poverty level. Indeed, the increasing abortion rate</w:t>
      </w:r>
      <w:r w:rsidR="00DD1931" w:rsidRPr="00E233B9">
        <w:rPr>
          <w:rFonts w:asciiTheme="minorHAnsi" w:hAnsiTheme="minorHAnsi" w:cstheme="minorHAnsi"/>
          <w:lang w:val="en-US"/>
        </w:rPr>
        <w:t xml:space="preserve"> after 1973 </w:t>
      </w:r>
      <w:r w:rsidR="009E248B" w:rsidRPr="00E233B9">
        <w:rPr>
          <w:rFonts w:asciiTheme="minorHAnsi" w:hAnsiTheme="minorHAnsi" w:cstheme="minorHAnsi"/>
          <w:lang w:val="en-US"/>
        </w:rPr>
        <w:t xml:space="preserve">and </w:t>
      </w:r>
      <w:r w:rsidR="00C127C2" w:rsidRPr="00E233B9">
        <w:rPr>
          <w:rFonts w:asciiTheme="minorHAnsi" w:hAnsiTheme="minorHAnsi" w:cstheme="minorHAnsi"/>
          <w:lang w:val="en-US"/>
        </w:rPr>
        <w:t>its</w:t>
      </w:r>
      <w:r w:rsidR="009E248B" w:rsidRPr="00E233B9">
        <w:rPr>
          <w:rFonts w:asciiTheme="minorHAnsi" w:hAnsiTheme="minorHAnsi" w:cstheme="minorHAnsi"/>
          <w:lang w:val="en-US"/>
        </w:rPr>
        <w:t xml:space="preserve"> high </w:t>
      </w:r>
      <w:r w:rsidR="006C4BA8" w:rsidRPr="00E233B9">
        <w:rPr>
          <w:rFonts w:asciiTheme="minorHAnsi" w:hAnsiTheme="minorHAnsi" w:cstheme="minorHAnsi"/>
          <w:lang w:val="en-US"/>
        </w:rPr>
        <w:t>level through</w:t>
      </w:r>
      <w:r w:rsidR="009E248B" w:rsidRPr="00E233B9">
        <w:rPr>
          <w:rFonts w:asciiTheme="minorHAnsi" w:hAnsiTheme="minorHAnsi" w:cstheme="minorHAnsi"/>
          <w:lang w:val="en-US"/>
        </w:rPr>
        <w:t>out</w:t>
      </w:r>
      <w:r w:rsidR="006C4BA8" w:rsidRPr="00E233B9">
        <w:rPr>
          <w:rFonts w:asciiTheme="minorHAnsi" w:hAnsiTheme="minorHAnsi" w:cstheme="minorHAnsi"/>
          <w:lang w:val="en-US"/>
        </w:rPr>
        <w:t xml:space="preserve"> the 198</w:t>
      </w:r>
      <w:r w:rsidR="00C127C2" w:rsidRPr="00E233B9">
        <w:rPr>
          <w:rFonts w:asciiTheme="minorHAnsi" w:hAnsiTheme="minorHAnsi" w:cstheme="minorHAnsi"/>
          <w:lang w:val="en-US"/>
        </w:rPr>
        <w:t xml:space="preserve">0s seems to coincide with the lower educational gap among cohorts born between the 1955 and 1965. The subsequent decline in abortion until the mid-2000s coincides with an increasing educational gap in ESF of younger cohorts. </w:t>
      </w:r>
    </w:p>
    <w:p w14:paraId="4E17DD4A" w14:textId="77777777" w:rsidR="001E0B60" w:rsidRPr="00E233B9" w:rsidRDefault="001E0B60" w:rsidP="001E0B60">
      <w:pPr>
        <w:spacing w:line="480" w:lineRule="auto"/>
        <w:jc w:val="both"/>
        <w:rPr>
          <w:rFonts w:asciiTheme="minorHAnsi" w:hAnsiTheme="minorHAnsi" w:cstheme="minorHAnsi"/>
          <w:lang w:val="en-US"/>
        </w:rPr>
      </w:pPr>
    </w:p>
    <w:p w14:paraId="4D8BDFC7" w14:textId="3BBB32AB" w:rsidR="00717FB7" w:rsidRPr="00A2707E" w:rsidRDefault="00717FB7" w:rsidP="001E0B60">
      <w:pPr>
        <w:pStyle w:val="Heading1"/>
        <w:spacing w:line="480" w:lineRule="auto"/>
        <w:rPr>
          <w:lang w:val="en-US"/>
        </w:rPr>
      </w:pPr>
      <w:r>
        <w:rPr>
          <w:lang w:val="en-US"/>
        </w:rPr>
        <w:t>Acknowledgements</w:t>
      </w:r>
    </w:p>
    <w:p w14:paraId="6C77A2DC" w14:textId="69741C4B" w:rsidR="00144DE5" w:rsidRPr="005D3251" w:rsidRDefault="00717FB7" w:rsidP="001E0B60">
      <w:pPr>
        <w:spacing w:line="480" w:lineRule="auto"/>
        <w:rPr>
          <w:rFonts w:asciiTheme="minorHAnsi" w:hAnsiTheme="minorHAnsi" w:cstheme="minorHAnsi"/>
          <w:lang w:val="en-US"/>
        </w:rPr>
      </w:pPr>
      <w:r w:rsidRPr="005D3251">
        <w:rPr>
          <w:rFonts w:asciiTheme="minorHAnsi" w:hAnsiTheme="minorHAnsi" w:cstheme="minorHAnsi"/>
          <w:lang w:val="en-US"/>
        </w:rPr>
        <w:t xml:space="preserve">We would like to thank </w:t>
      </w:r>
      <w:proofErr w:type="spellStart"/>
      <w:r w:rsidRPr="005D3251">
        <w:rPr>
          <w:rFonts w:asciiTheme="minorHAnsi" w:hAnsiTheme="minorHAnsi" w:cstheme="minorHAnsi"/>
          <w:lang w:val="en-US"/>
        </w:rPr>
        <w:t>Tereza</w:t>
      </w:r>
      <w:proofErr w:type="spellEnd"/>
      <w:r w:rsidRPr="005D3251">
        <w:rPr>
          <w:rFonts w:asciiTheme="minorHAnsi" w:hAnsiTheme="minorHAnsi" w:cstheme="minorHAnsi"/>
          <w:lang w:val="en-US"/>
        </w:rPr>
        <w:t xml:space="preserve"> </w:t>
      </w:r>
      <w:proofErr w:type="spellStart"/>
      <w:r w:rsidRPr="005D3251">
        <w:rPr>
          <w:rFonts w:asciiTheme="minorHAnsi" w:hAnsiTheme="minorHAnsi" w:cstheme="minorHAnsi"/>
          <w:lang w:val="en-US"/>
        </w:rPr>
        <w:t>Wennerholm</w:t>
      </w:r>
      <w:r w:rsidR="00572AF3">
        <w:rPr>
          <w:rFonts w:asciiTheme="minorHAnsi" w:hAnsiTheme="minorHAnsi" w:cstheme="minorHAnsi"/>
          <w:lang w:val="en-US"/>
        </w:rPr>
        <w:t>-Caslavska</w:t>
      </w:r>
      <w:proofErr w:type="spellEnd"/>
      <w:r w:rsidRPr="005D3251">
        <w:rPr>
          <w:rFonts w:asciiTheme="minorHAnsi" w:hAnsiTheme="minorHAnsi" w:cstheme="minorHAnsi"/>
          <w:lang w:val="en-US"/>
        </w:rPr>
        <w:t xml:space="preserve"> for her contribution to </w:t>
      </w:r>
      <w:r w:rsidR="00144DE5">
        <w:rPr>
          <w:rFonts w:asciiTheme="minorHAnsi" w:hAnsiTheme="minorHAnsi" w:cstheme="minorHAnsi"/>
          <w:lang w:val="en-US"/>
        </w:rPr>
        <w:t xml:space="preserve">an earlier version of the paper and Anja </w:t>
      </w:r>
      <w:proofErr w:type="spellStart"/>
      <w:r w:rsidR="00144DE5">
        <w:rPr>
          <w:rFonts w:asciiTheme="minorHAnsi" w:hAnsiTheme="minorHAnsi" w:cstheme="minorHAnsi"/>
          <w:lang w:val="en-US"/>
        </w:rPr>
        <w:t>Leist</w:t>
      </w:r>
      <w:proofErr w:type="spellEnd"/>
      <w:r w:rsidR="00144DE5" w:rsidRPr="005D3251">
        <w:rPr>
          <w:rFonts w:asciiTheme="minorHAnsi" w:hAnsiTheme="minorHAnsi" w:cstheme="minorHAnsi"/>
          <w:lang w:val="en-US"/>
        </w:rPr>
        <w:t xml:space="preserve"> for her reading of an earlier version</w:t>
      </w:r>
      <w:r w:rsidR="00144DE5">
        <w:rPr>
          <w:rFonts w:asciiTheme="minorHAnsi" w:hAnsiTheme="minorHAnsi" w:cstheme="minorHAnsi"/>
          <w:lang w:val="en-US"/>
        </w:rPr>
        <w:t>.</w:t>
      </w:r>
    </w:p>
    <w:p w14:paraId="463491BF" w14:textId="04914497" w:rsidR="0049658B" w:rsidRDefault="0049658B" w:rsidP="001E0B60">
      <w:pPr>
        <w:spacing w:line="480" w:lineRule="auto"/>
        <w:rPr>
          <w:rFonts w:asciiTheme="majorHAnsi" w:eastAsiaTheme="majorEastAsia" w:hAnsiTheme="majorHAnsi" w:cstheme="majorBidi"/>
          <w:color w:val="2E74B5" w:themeColor="accent1" w:themeShade="BF"/>
          <w:sz w:val="32"/>
          <w:szCs w:val="32"/>
          <w:lang w:val="en-US"/>
        </w:rPr>
      </w:pPr>
    </w:p>
    <w:p w14:paraId="4431F9CC" w14:textId="651DE059" w:rsidR="009105E1" w:rsidRPr="00EF4D07" w:rsidRDefault="00832834" w:rsidP="00E233B9">
      <w:pPr>
        <w:pStyle w:val="Heading1"/>
        <w:spacing w:line="480" w:lineRule="auto"/>
        <w:rPr>
          <w:lang w:val="de-DE"/>
        </w:rPr>
      </w:pPr>
      <w:r w:rsidRPr="00EF4D07">
        <w:rPr>
          <w:lang w:val="de-DE"/>
        </w:rPr>
        <w:lastRenderedPageBreak/>
        <w:t>Reference</w:t>
      </w:r>
      <w:r w:rsidR="005B3A11" w:rsidRPr="00EF4D07">
        <w:rPr>
          <w:lang w:val="de-DE"/>
        </w:rPr>
        <w:t>s</w:t>
      </w:r>
    </w:p>
    <w:p w14:paraId="39976449" w14:textId="2CFF8414" w:rsidR="007107A7" w:rsidRDefault="007107A7" w:rsidP="007107A7">
      <w:pPr>
        <w:spacing w:line="480" w:lineRule="auto"/>
        <w:jc w:val="both"/>
        <w:rPr>
          <w:rFonts w:asciiTheme="minorHAnsi" w:hAnsiTheme="minorHAnsi" w:cstheme="minorHAnsi"/>
          <w:sz w:val="20"/>
          <w:szCs w:val="21"/>
          <w:lang w:val="en-US"/>
        </w:rPr>
      </w:pPr>
      <w:r w:rsidRPr="00EF4D07">
        <w:rPr>
          <w:rFonts w:asciiTheme="minorHAnsi" w:hAnsiTheme="minorHAnsi" w:cstheme="minorHAnsi"/>
          <w:sz w:val="20"/>
          <w:szCs w:val="21"/>
          <w:lang w:val="de-DE"/>
        </w:rPr>
        <w:t>Andersson, G., Knudsen, L.B., Neyer, G., Teschner, K., Ronsen, M., Laèèegard, T. Skrede, K. and Vikat, A. (2009)</w:t>
      </w:r>
      <w:r w:rsidR="00E042B4" w:rsidRPr="00EF4D07">
        <w:rPr>
          <w:rFonts w:asciiTheme="minorHAnsi" w:hAnsiTheme="minorHAnsi" w:cstheme="minorHAnsi"/>
          <w:sz w:val="20"/>
          <w:szCs w:val="21"/>
          <w:lang w:val="de-DE"/>
        </w:rPr>
        <w:t xml:space="preserve">. </w:t>
      </w:r>
      <w:r w:rsidR="00E042B4" w:rsidRPr="00E042B4">
        <w:rPr>
          <w:rFonts w:asciiTheme="minorHAnsi" w:hAnsiTheme="minorHAnsi" w:cstheme="minorHAnsi"/>
          <w:sz w:val="20"/>
          <w:szCs w:val="21"/>
          <w:lang w:val="en-US"/>
        </w:rPr>
        <w:t>Cohort fertility patterns in the Nordic countries</w:t>
      </w:r>
      <w:r w:rsidR="00E042B4">
        <w:rPr>
          <w:rFonts w:asciiTheme="minorHAnsi" w:hAnsiTheme="minorHAnsi" w:cstheme="minorHAnsi"/>
          <w:sz w:val="20"/>
          <w:szCs w:val="21"/>
          <w:lang w:val="en-US"/>
        </w:rPr>
        <w:t>.</w:t>
      </w:r>
      <w:r>
        <w:rPr>
          <w:rFonts w:asciiTheme="minorHAnsi" w:hAnsiTheme="minorHAnsi" w:cstheme="minorHAnsi"/>
          <w:sz w:val="20"/>
          <w:szCs w:val="21"/>
          <w:lang w:val="en-US"/>
        </w:rPr>
        <w:t xml:space="preserve"> In: Demographic Research,</w:t>
      </w:r>
      <w:r w:rsidRPr="007107A7">
        <w:rPr>
          <w:rFonts w:asciiTheme="minorHAnsi" w:hAnsiTheme="minorHAnsi" w:cstheme="minorHAnsi"/>
          <w:sz w:val="20"/>
          <w:szCs w:val="21"/>
          <w:lang w:val="en-US"/>
        </w:rPr>
        <w:t xml:space="preserve"> 20, </w:t>
      </w:r>
      <w:r>
        <w:rPr>
          <w:rFonts w:asciiTheme="minorHAnsi" w:hAnsiTheme="minorHAnsi" w:cstheme="minorHAnsi"/>
          <w:sz w:val="20"/>
          <w:szCs w:val="21"/>
          <w:lang w:val="en-US"/>
        </w:rPr>
        <w:t>14:</w:t>
      </w:r>
      <w:r w:rsidRPr="007107A7">
        <w:rPr>
          <w:rFonts w:asciiTheme="minorHAnsi" w:hAnsiTheme="minorHAnsi" w:cstheme="minorHAnsi"/>
          <w:sz w:val="20"/>
          <w:szCs w:val="21"/>
          <w:lang w:val="en-US"/>
        </w:rPr>
        <w:t xml:space="preserve"> 313-352</w:t>
      </w:r>
      <w:r>
        <w:rPr>
          <w:rFonts w:asciiTheme="minorHAnsi" w:hAnsiTheme="minorHAnsi" w:cstheme="minorHAnsi"/>
          <w:sz w:val="20"/>
          <w:szCs w:val="21"/>
          <w:lang w:val="en-US"/>
        </w:rPr>
        <w:t xml:space="preserve">, </w:t>
      </w:r>
      <w:hyperlink r:id="rId13" w:history="1">
        <w:r w:rsidRPr="00BD6E5E">
          <w:rPr>
            <w:rStyle w:val="Hyperlink"/>
            <w:rFonts w:asciiTheme="minorHAnsi" w:hAnsiTheme="minorHAnsi" w:cstheme="minorHAnsi"/>
            <w:sz w:val="20"/>
            <w:szCs w:val="21"/>
            <w:lang w:val="en-US"/>
          </w:rPr>
          <w:t>http://www.demographic-research.org/Volumes/Vol20/14/</w:t>
        </w:r>
      </w:hyperlink>
      <w:r>
        <w:rPr>
          <w:rFonts w:asciiTheme="minorHAnsi" w:hAnsiTheme="minorHAnsi" w:cstheme="minorHAnsi"/>
          <w:sz w:val="20"/>
          <w:szCs w:val="21"/>
          <w:lang w:val="en-US"/>
        </w:rPr>
        <w:t xml:space="preserve"> -</w:t>
      </w:r>
      <w:r w:rsidRPr="007107A7">
        <w:rPr>
          <w:rFonts w:asciiTheme="minorHAnsi" w:hAnsiTheme="minorHAnsi" w:cstheme="minorHAnsi"/>
          <w:sz w:val="20"/>
          <w:szCs w:val="21"/>
          <w:lang w:val="en-US"/>
        </w:rPr>
        <w:t xml:space="preserve"> DOI: 10.4054/DemRes.2009.20.14</w:t>
      </w:r>
      <w:r>
        <w:rPr>
          <w:rFonts w:asciiTheme="minorHAnsi" w:hAnsiTheme="minorHAnsi" w:cstheme="minorHAnsi"/>
          <w:sz w:val="20"/>
          <w:szCs w:val="21"/>
          <w:lang w:val="en-US"/>
        </w:rPr>
        <w:t xml:space="preserve"> </w:t>
      </w:r>
    </w:p>
    <w:p w14:paraId="0B37D9C0" w14:textId="4F9F9EAE" w:rsidR="0027775E" w:rsidRPr="00E233B9" w:rsidRDefault="0027775E" w:rsidP="00E233B9">
      <w:pPr>
        <w:spacing w:line="480" w:lineRule="auto"/>
        <w:jc w:val="both"/>
        <w:rPr>
          <w:rFonts w:asciiTheme="minorHAnsi" w:hAnsiTheme="minorHAnsi" w:cstheme="minorHAnsi"/>
          <w:sz w:val="20"/>
          <w:szCs w:val="21"/>
          <w:lang w:val="en-US"/>
        </w:rPr>
      </w:pPr>
      <w:r w:rsidRPr="00E233B9">
        <w:rPr>
          <w:rFonts w:asciiTheme="minorHAnsi" w:hAnsiTheme="minorHAnsi" w:cstheme="minorHAnsi"/>
          <w:sz w:val="20"/>
          <w:szCs w:val="21"/>
          <w:lang w:val="en-US"/>
        </w:rPr>
        <w:t xml:space="preserve">Bar-Haim, E., Chauvel, L. &amp; </w:t>
      </w:r>
      <w:proofErr w:type="spellStart"/>
      <w:r w:rsidRPr="00E233B9">
        <w:rPr>
          <w:rFonts w:asciiTheme="minorHAnsi" w:hAnsiTheme="minorHAnsi" w:cstheme="minorHAnsi"/>
          <w:sz w:val="20"/>
          <w:szCs w:val="21"/>
          <w:lang w:val="en-US"/>
        </w:rPr>
        <w:t>Hartung</w:t>
      </w:r>
      <w:proofErr w:type="spellEnd"/>
      <w:r w:rsidRPr="00E233B9">
        <w:rPr>
          <w:rFonts w:asciiTheme="minorHAnsi" w:hAnsiTheme="minorHAnsi" w:cstheme="minorHAnsi"/>
          <w:sz w:val="20"/>
          <w:szCs w:val="21"/>
          <w:lang w:val="en-US"/>
        </w:rPr>
        <w:t xml:space="preserve">, A. (2017). More Necessary and Less Sufficient: An Age-Period-Cohort Approach to </w:t>
      </w:r>
      <w:proofErr w:type="spellStart"/>
      <w:r w:rsidRPr="00E233B9">
        <w:rPr>
          <w:rFonts w:asciiTheme="minorHAnsi" w:hAnsiTheme="minorHAnsi" w:cstheme="minorHAnsi"/>
          <w:sz w:val="20"/>
          <w:szCs w:val="21"/>
          <w:lang w:val="en-US"/>
        </w:rPr>
        <w:t>Overeducation</w:t>
      </w:r>
      <w:proofErr w:type="spellEnd"/>
      <w:r w:rsidRPr="00E233B9">
        <w:rPr>
          <w:rFonts w:asciiTheme="minorHAnsi" w:hAnsiTheme="minorHAnsi" w:cstheme="minorHAnsi"/>
          <w:sz w:val="20"/>
          <w:szCs w:val="21"/>
          <w:lang w:val="en-US"/>
        </w:rPr>
        <w:t xml:space="preserve"> in Comparative Perspective. Working paper. </w:t>
      </w:r>
    </w:p>
    <w:p w14:paraId="36D95B59" w14:textId="78A9648E" w:rsidR="001A35B7" w:rsidRPr="00E233B9" w:rsidRDefault="001A35B7" w:rsidP="00E233B9">
      <w:pPr>
        <w:spacing w:line="480" w:lineRule="auto"/>
        <w:jc w:val="both"/>
        <w:rPr>
          <w:rFonts w:asciiTheme="minorHAnsi" w:hAnsiTheme="minorHAnsi" w:cstheme="minorHAnsi"/>
          <w:sz w:val="20"/>
          <w:szCs w:val="21"/>
          <w:lang w:val="en-US"/>
        </w:rPr>
      </w:pPr>
      <w:proofErr w:type="spellStart"/>
      <w:r w:rsidRPr="00E233B9">
        <w:rPr>
          <w:rFonts w:asciiTheme="minorHAnsi" w:hAnsiTheme="minorHAnsi" w:cstheme="minorHAnsi"/>
          <w:sz w:val="20"/>
          <w:szCs w:val="21"/>
          <w:lang w:val="en-US"/>
        </w:rPr>
        <w:t>Billari</w:t>
      </w:r>
      <w:proofErr w:type="spellEnd"/>
      <w:r w:rsidRPr="00E233B9">
        <w:rPr>
          <w:rFonts w:asciiTheme="minorHAnsi" w:hAnsiTheme="minorHAnsi" w:cstheme="minorHAnsi"/>
          <w:sz w:val="20"/>
          <w:szCs w:val="21"/>
          <w:lang w:val="en-US"/>
        </w:rPr>
        <w:t>, F.</w:t>
      </w:r>
      <w:r w:rsidR="00A275A9" w:rsidRPr="00E233B9">
        <w:rPr>
          <w:rFonts w:asciiTheme="minorHAnsi" w:hAnsiTheme="minorHAnsi" w:cstheme="minorHAnsi"/>
          <w:sz w:val="20"/>
          <w:szCs w:val="21"/>
          <w:lang w:val="en-US"/>
        </w:rPr>
        <w:t>C.</w:t>
      </w:r>
      <w:r w:rsidRPr="00E233B9">
        <w:rPr>
          <w:rFonts w:asciiTheme="minorHAnsi" w:hAnsiTheme="minorHAnsi" w:cstheme="minorHAnsi"/>
          <w:sz w:val="20"/>
          <w:szCs w:val="21"/>
          <w:lang w:val="en-US"/>
        </w:rPr>
        <w:t xml:space="preserve"> </w:t>
      </w:r>
      <w:r w:rsidR="00A275A9" w:rsidRPr="00E233B9">
        <w:rPr>
          <w:rFonts w:asciiTheme="minorHAnsi" w:hAnsiTheme="minorHAnsi" w:cstheme="minorHAnsi"/>
          <w:sz w:val="20"/>
          <w:szCs w:val="21"/>
          <w:lang w:val="en-US"/>
        </w:rPr>
        <w:t>&amp;</w:t>
      </w:r>
      <w:r w:rsidRPr="00E233B9">
        <w:rPr>
          <w:rFonts w:asciiTheme="minorHAnsi" w:hAnsiTheme="minorHAnsi" w:cstheme="minorHAnsi"/>
          <w:sz w:val="20"/>
          <w:szCs w:val="21"/>
          <w:lang w:val="en-US"/>
        </w:rPr>
        <w:t xml:space="preserve"> D. </w:t>
      </w:r>
      <w:proofErr w:type="spellStart"/>
      <w:r w:rsidRPr="00E233B9">
        <w:rPr>
          <w:rFonts w:asciiTheme="minorHAnsi" w:hAnsiTheme="minorHAnsi" w:cstheme="minorHAnsi"/>
          <w:sz w:val="20"/>
          <w:szCs w:val="21"/>
          <w:lang w:val="en-US"/>
        </w:rPr>
        <w:t>Philipov</w:t>
      </w:r>
      <w:proofErr w:type="spellEnd"/>
      <w:r w:rsidRPr="00E233B9">
        <w:rPr>
          <w:rFonts w:asciiTheme="minorHAnsi" w:hAnsiTheme="minorHAnsi" w:cstheme="minorHAnsi"/>
          <w:sz w:val="20"/>
          <w:szCs w:val="21"/>
          <w:lang w:val="en-US"/>
        </w:rPr>
        <w:t xml:space="preserve"> (2004). Education and the transition to motherhood: a comparative analysis of Western Europe. European Demographic Research Paper 2004/3, Vienna Institute of Demography, Austrian Academy of Sciences. </w:t>
      </w:r>
    </w:p>
    <w:p w14:paraId="44060419" w14:textId="77777777" w:rsidR="002152D3" w:rsidRPr="00E233B9" w:rsidRDefault="002152D3" w:rsidP="00E233B9">
      <w:pPr>
        <w:spacing w:line="480" w:lineRule="auto"/>
        <w:jc w:val="both"/>
        <w:rPr>
          <w:rFonts w:asciiTheme="minorHAnsi" w:hAnsiTheme="minorHAnsi" w:cstheme="minorHAnsi"/>
          <w:sz w:val="20"/>
          <w:szCs w:val="21"/>
          <w:lang w:val="en-US"/>
        </w:rPr>
      </w:pPr>
      <w:proofErr w:type="spellStart"/>
      <w:r w:rsidRPr="00E233B9">
        <w:rPr>
          <w:rFonts w:asciiTheme="minorHAnsi" w:hAnsiTheme="minorHAnsi" w:cstheme="minorHAnsi"/>
          <w:sz w:val="20"/>
          <w:szCs w:val="21"/>
          <w:lang w:val="en-US"/>
        </w:rPr>
        <w:t>Bhrolcháin</w:t>
      </w:r>
      <w:proofErr w:type="spellEnd"/>
      <w:r w:rsidRPr="00E233B9">
        <w:rPr>
          <w:rFonts w:asciiTheme="minorHAnsi" w:hAnsiTheme="minorHAnsi" w:cstheme="minorHAnsi"/>
          <w:sz w:val="20"/>
          <w:szCs w:val="21"/>
          <w:lang w:val="en-US"/>
        </w:rPr>
        <w:t xml:space="preserve">, M.N. &amp; É. </w:t>
      </w:r>
      <w:proofErr w:type="spellStart"/>
      <w:r w:rsidRPr="00E233B9">
        <w:rPr>
          <w:rFonts w:asciiTheme="minorHAnsi" w:hAnsiTheme="minorHAnsi" w:cstheme="minorHAnsi"/>
          <w:sz w:val="20"/>
          <w:szCs w:val="21"/>
          <w:lang w:val="en-US"/>
        </w:rPr>
        <w:t>Beaujouan</w:t>
      </w:r>
      <w:proofErr w:type="spellEnd"/>
      <w:r w:rsidRPr="00E233B9">
        <w:rPr>
          <w:rFonts w:asciiTheme="minorHAnsi" w:hAnsiTheme="minorHAnsi" w:cstheme="minorHAnsi"/>
          <w:sz w:val="20"/>
          <w:szCs w:val="21"/>
          <w:lang w:val="en-US"/>
        </w:rPr>
        <w:t xml:space="preserve"> (2012). Fertility postponement is largely due to rising educational enrolment, Population Studies 66(3): 311–327. </w:t>
      </w:r>
    </w:p>
    <w:p w14:paraId="35D814B7" w14:textId="77777777" w:rsidR="002152D3" w:rsidRPr="00E233B9" w:rsidRDefault="002152D3" w:rsidP="00E233B9">
      <w:pPr>
        <w:spacing w:line="480" w:lineRule="auto"/>
        <w:jc w:val="both"/>
        <w:rPr>
          <w:rFonts w:asciiTheme="minorHAnsi" w:hAnsiTheme="minorHAnsi" w:cstheme="minorHAnsi"/>
          <w:sz w:val="20"/>
          <w:szCs w:val="21"/>
          <w:lang w:val="en-US"/>
        </w:rPr>
      </w:pPr>
      <w:proofErr w:type="spellStart"/>
      <w:r w:rsidRPr="00E233B9">
        <w:rPr>
          <w:rFonts w:asciiTheme="minorHAnsi" w:hAnsiTheme="minorHAnsi" w:cstheme="minorHAnsi"/>
          <w:sz w:val="20"/>
          <w:szCs w:val="21"/>
          <w:lang w:val="en-US"/>
        </w:rPr>
        <w:t>Blossfeld</w:t>
      </w:r>
      <w:proofErr w:type="spellEnd"/>
      <w:r w:rsidRPr="00E233B9">
        <w:rPr>
          <w:rFonts w:asciiTheme="minorHAnsi" w:hAnsiTheme="minorHAnsi" w:cstheme="minorHAnsi"/>
          <w:sz w:val="20"/>
          <w:szCs w:val="21"/>
          <w:lang w:val="en-US"/>
        </w:rPr>
        <w:t xml:space="preserve">, H.P. &amp; J. </w:t>
      </w:r>
      <w:proofErr w:type="spellStart"/>
      <w:r w:rsidRPr="00E233B9">
        <w:rPr>
          <w:rFonts w:asciiTheme="minorHAnsi" w:hAnsiTheme="minorHAnsi" w:cstheme="minorHAnsi"/>
          <w:sz w:val="20"/>
          <w:szCs w:val="21"/>
          <w:lang w:val="en-US"/>
        </w:rPr>
        <w:t>Huinink</w:t>
      </w:r>
      <w:proofErr w:type="spellEnd"/>
      <w:r w:rsidRPr="00E233B9">
        <w:rPr>
          <w:rFonts w:asciiTheme="minorHAnsi" w:hAnsiTheme="minorHAnsi" w:cstheme="minorHAnsi"/>
          <w:sz w:val="20"/>
          <w:szCs w:val="21"/>
          <w:lang w:val="en-US"/>
        </w:rPr>
        <w:t xml:space="preserve"> (1991). Human capital investments or norms of role transition? How woman’s schooling and career affect the process of family formation, American Journal of Sociology 97(1): 143–168. </w:t>
      </w:r>
    </w:p>
    <w:p w14:paraId="0A129162" w14:textId="77646415" w:rsidR="00832834" w:rsidRPr="00E233B9" w:rsidRDefault="00832834" w:rsidP="00E233B9">
      <w:pPr>
        <w:spacing w:line="480" w:lineRule="auto"/>
        <w:jc w:val="both"/>
        <w:rPr>
          <w:rFonts w:asciiTheme="minorHAnsi" w:hAnsiTheme="minorHAnsi" w:cstheme="minorHAnsi"/>
          <w:sz w:val="20"/>
          <w:lang w:val="en-US"/>
        </w:rPr>
      </w:pPr>
      <w:r w:rsidRPr="00E233B9">
        <w:rPr>
          <w:rFonts w:asciiTheme="minorHAnsi" w:hAnsiTheme="minorHAnsi" w:cstheme="minorHAnsi"/>
          <w:sz w:val="20"/>
          <w:lang w:val="en-US"/>
        </w:rPr>
        <w:t xml:space="preserve">Chauvel, L. &amp; </w:t>
      </w:r>
      <w:proofErr w:type="spellStart"/>
      <w:r w:rsidRPr="00E233B9">
        <w:rPr>
          <w:rFonts w:asciiTheme="minorHAnsi" w:hAnsiTheme="minorHAnsi" w:cstheme="minorHAnsi"/>
          <w:sz w:val="20"/>
          <w:lang w:val="en-US"/>
        </w:rPr>
        <w:t>Schröder</w:t>
      </w:r>
      <w:proofErr w:type="spellEnd"/>
      <w:r w:rsidRPr="00E233B9">
        <w:rPr>
          <w:rFonts w:asciiTheme="minorHAnsi" w:hAnsiTheme="minorHAnsi" w:cstheme="minorHAnsi"/>
          <w:sz w:val="20"/>
          <w:lang w:val="en-US"/>
        </w:rPr>
        <w:t>, M. (2014). Generational inequalities and welfare regimes. Social Forces, 92(4), 1259-1283.</w:t>
      </w:r>
    </w:p>
    <w:p w14:paraId="659CBC82" w14:textId="439F8AB0" w:rsidR="00CA6339" w:rsidRDefault="00CA6339" w:rsidP="00E233B9">
      <w:pPr>
        <w:spacing w:line="480" w:lineRule="auto"/>
        <w:jc w:val="both"/>
        <w:rPr>
          <w:rFonts w:asciiTheme="minorHAnsi" w:hAnsiTheme="minorHAnsi" w:cstheme="minorHAnsi"/>
          <w:sz w:val="20"/>
          <w:lang w:val="en-US"/>
        </w:rPr>
      </w:pPr>
      <w:r w:rsidRPr="00E233B9">
        <w:rPr>
          <w:rFonts w:asciiTheme="minorHAnsi" w:hAnsiTheme="minorHAnsi" w:cstheme="minorHAnsi"/>
          <w:sz w:val="20"/>
        </w:rPr>
        <w:t xml:space="preserve">Chauvel, </w:t>
      </w:r>
      <w:r w:rsidR="00502901" w:rsidRPr="00E233B9">
        <w:rPr>
          <w:rFonts w:asciiTheme="minorHAnsi" w:hAnsiTheme="minorHAnsi" w:cstheme="minorHAnsi"/>
          <w:sz w:val="20"/>
        </w:rPr>
        <w:t>L.</w:t>
      </w:r>
      <w:r w:rsidRPr="00E233B9">
        <w:rPr>
          <w:rFonts w:asciiTheme="minorHAnsi" w:hAnsiTheme="minorHAnsi" w:cstheme="minorHAnsi"/>
          <w:sz w:val="20"/>
        </w:rPr>
        <w:t xml:space="preserve">, </w:t>
      </w:r>
      <w:proofErr w:type="spellStart"/>
      <w:r w:rsidRPr="00E233B9">
        <w:rPr>
          <w:rFonts w:asciiTheme="minorHAnsi" w:hAnsiTheme="minorHAnsi" w:cstheme="minorHAnsi"/>
          <w:sz w:val="20"/>
        </w:rPr>
        <w:t>Hartung</w:t>
      </w:r>
      <w:proofErr w:type="spellEnd"/>
      <w:r w:rsidRPr="00E233B9">
        <w:rPr>
          <w:rFonts w:asciiTheme="minorHAnsi" w:hAnsiTheme="minorHAnsi" w:cstheme="minorHAnsi"/>
          <w:sz w:val="20"/>
        </w:rPr>
        <w:t xml:space="preserve">, </w:t>
      </w:r>
      <w:r w:rsidR="00502901" w:rsidRPr="00E233B9">
        <w:rPr>
          <w:rFonts w:asciiTheme="minorHAnsi" w:hAnsiTheme="minorHAnsi" w:cstheme="minorHAnsi"/>
          <w:sz w:val="20"/>
        </w:rPr>
        <w:t>A.</w:t>
      </w:r>
      <w:r w:rsidRPr="00E233B9">
        <w:rPr>
          <w:rFonts w:asciiTheme="minorHAnsi" w:hAnsiTheme="minorHAnsi" w:cstheme="minorHAnsi"/>
          <w:sz w:val="20"/>
        </w:rPr>
        <w:t xml:space="preserve"> &amp; Bar</w:t>
      </w:r>
      <w:r w:rsidR="00502901" w:rsidRPr="00E233B9">
        <w:rPr>
          <w:rFonts w:asciiTheme="minorHAnsi" w:hAnsiTheme="minorHAnsi" w:cstheme="minorHAnsi"/>
          <w:sz w:val="20"/>
        </w:rPr>
        <w:t>-</w:t>
      </w:r>
      <w:r w:rsidRPr="00E233B9">
        <w:rPr>
          <w:rFonts w:asciiTheme="minorHAnsi" w:hAnsiTheme="minorHAnsi" w:cstheme="minorHAnsi"/>
          <w:sz w:val="20"/>
        </w:rPr>
        <w:t>Haim, E</w:t>
      </w:r>
      <w:r w:rsidR="00502901" w:rsidRPr="00E233B9">
        <w:rPr>
          <w:rFonts w:asciiTheme="minorHAnsi" w:hAnsiTheme="minorHAnsi" w:cstheme="minorHAnsi"/>
          <w:sz w:val="20"/>
        </w:rPr>
        <w:t>.</w:t>
      </w:r>
      <w:r w:rsidRPr="00E233B9">
        <w:rPr>
          <w:rFonts w:asciiTheme="minorHAnsi" w:hAnsiTheme="minorHAnsi" w:cstheme="minorHAnsi"/>
          <w:sz w:val="20"/>
        </w:rPr>
        <w:t xml:space="preserve"> (2017)</w:t>
      </w:r>
      <w:r w:rsidR="00502901" w:rsidRPr="00E233B9">
        <w:rPr>
          <w:rFonts w:asciiTheme="minorHAnsi" w:hAnsiTheme="minorHAnsi" w:cstheme="minorHAnsi"/>
          <w:sz w:val="20"/>
        </w:rPr>
        <w:t>.</w:t>
      </w:r>
      <w:r w:rsidRPr="00E233B9">
        <w:rPr>
          <w:rFonts w:asciiTheme="minorHAnsi" w:hAnsiTheme="minorHAnsi" w:cstheme="minorHAnsi"/>
          <w:sz w:val="20"/>
        </w:rPr>
        <w:t xml:space="preserve"> </w:t>
      </w:r>
      <w:r w:rsidRPr="00E233B9">
        <w:rPr>
          <w:rFonts w:asciiTheme="minorHAnsi" w:hAnsiTheme="minorHAnsi" w:cstheme="minorHAnsi"/>
          <w:sz w:val="20"/>
          <w:lang w:val="en-US"/>
        </w:rPr>
        <w:t>Closing or persisting gender wage gap? A cohort analysis of education and wages in the US and Europe. Conference Paper, PAA 2017.</w:t>
      </w:r>
    </w:p>
    <w:p w14:paraId="0661E1E5" w14:textId="77777777" w:rsidR="000016C6" w:rsidRPr="005D3251" w:rsidRDefault="000016C6" w:rsidP="00E233B9">
      <w:pPr>
        <w:spacing w:line="480" w:lineRule="auto"/>
        <w:jc w:val="both"/>
        <w:rPr>
          <w:rFonts w:asciiTheme="minorHAnsi" w:hAnsiTheme="minorHAnsi" w:cstheme="minorHAnsi"/>
          <w:sz w:val="20"/>
          <w:lang w:val="de-DE"/>
        </w:rPr>
      </w:pPr>
      <w:r w:rsidRPr="005D3251">
        <w:rPr>
          <w:rFonts w:asciiTheme="minorHAnsi" w:hAnsiTheme="minorHAnsi" w:cstheme="minorHAnsi"/>
          <w:sz w:val="20"/>
          <w:lang w:val="en-US"/>
        </w:rPr>
        <w:t xml:space="preserve">Chauvel, L., </w:t>
      </w:r>
      <w:proofErr w:type="spellStart"/>
      <w:r w:rsidRPr="005D3251">
        <w:rPr>
          <w:rFonts w:asciiTheme="minorHAnsi" w:hAnsiTheme="minorHAnsi" w:cstheme="minorHAnsi"/>
          <w:sz w:val="20"/>
          <w:lang w:val="en-US"/>
        </w:rPr>
        <w:t>Leist</w:t>
      </w:r>
      <w:proofErr w:type="spellEnd"/>
      <w:r w:rsidRPr="005D3251">
        <w:rPr>
          <w:rFonts w:asciiTheme="minorHAnsi" w:hAnsiTheme="minorHAnsi" w:cstheme="minorHAnsi"/>
          <w:sz w:val="20"/>
          <w:lang w:val="en-US"/>
        </w:rPr>
        <w:t xml:space="preserve">, A. K., &amp; </w:t>
      </w:r>
      <w:proofErr w:type="spellStart"/>
      <w:r w:rsidRPr="005D3251">
        <w:rPr>
          <w:rFonts w:asciiTheme="minorHAnsi" w:hAnsiTheme="minorHAnsi" w:cstheme="minorHAnsi"/>
          <w:sz w:val="20"/>
          <w:lang w:val="en-US"/>
        </w:rPr>
        <w:t>Ponomarenko</w:t>
      </w:r>
      <w:proofErr w:type="spellEnd"/>
      <w:r w:rsidRPr="005D3251">
        <w:rPr>
          <w:rFonts w:asciiTheme="minorHAnsi" w:hAnsiTheme="minorHAnsi" w:cstheme="minorHAnsi"/>
          <w:sz w:val="20"/>
          <w:lang w:val="en-US"/>
        </w:rPr>
        <w:t>, V. (2016). Testing persistence of cohort effects in the epidemiology of suicide: an age-period-cohort hysteresis model. </w:t>
      </w:r>
      <w:r w:rsidRPr="00896544">
        <w:rPr>
          <w:rFonts w:asciiTheme="minorHAnsi" w:hAnsiTheme="minorHAnsi" w:cstheme="minorHAnsi"/>
          <w:i/>
          <w:iCs/>
          <w:sz w:val="20"/>
          <w:lang w:val="de-DE"/>
        </w:rPr>
        <w:t>PloS one</w:t>
      </w:r>
      <w:r w:rsidRPr="005D3251">
        <w:rPr>
          <w:rFonts w:asciiTheme="minorHAnsi" w:hAnsiTheme="minorHAnsi" w:cstheme="minorHAnsi"/>
          <w:sz w:val="20"/>
          <w:lang w:val="de-DE"/>
        </w:rPr>
        <w:t>, </w:t>
      </w:r>
      <w:r w:rsidRPr="005D3251">
        <w:rPr>
          <w:rFonts w:asciiTheme="minorHAnsi" w:hAnsiTheme="minorHAnsi" w:cstheme="minorHAnsi"/>
          <w:i/>
          <w:iCs/>
          <w:sz w:val="20"/>
          <w:lang w:val="de-DE"/>
        </w:rPr>
        <w:t>11</w:t>
      </w:r>
      <w:r w:rsidRPr="005D3251">
        <w:rPr>
          <w:rFonts w:asciiTheme="minorHAnsi" w:hAnsiTheme="minorHAnsi" w:cstheme="minorHAnsi"/>
          <w:sz w:val="20"/>
          <w:lang w:val="de-DE"/>
        </w:rPr>
        <w:t xml:space="preserve">(7), e0158538. </w:t>
      </w:r>
    </w:p>
    <w:p w14:paraId="6C3D0B21" w14:textId="55BF750A" w:rsidR="002152D3" w:rsidRPr="00E233B9" w:rsidRDefault="002152D3" w:rsidP="00E233B9">
      <w:pPr>
        <w:spacing w:line="480" w:lineRule="auto"/>
        <w:jc w:val="both"/>
        <w:rPr>
          <w:rFonts w:asciiTheme="minorHAnsi" w:hAnsiTheme="minorHAnsi" w:cstheme="minorHAnsi"/>
          <w:sz w:val="20"/>
          <w:szCs w:val="21"/>
          <w:lang w:val="en-US"/>
        </w:rPr>
      </w:pPr>
      <w:r w:rsidRPr="005D3251">
        <w:rPr>
          <w:rFonts w:asciiTheme="minorHAnsi" w:hAnsiTheme="minorHAnsi" w:cstheme="minorHAnsi"/>
          <w:sz w:val="20"/>
          <w:szCs w:val="21"/>
          <w:lang w:val="de-DE"/>
        </w:rPr>
        <w:t xml:space="preserve">Cohen, J.E., Ø. Kravdal &amp; N. Keilman (2011). </w:t>
      </w:r>
      <w:r w:rsidRPr="00E233B9">
        <w:rPr>
          <w:rFonts w:asciiTheme="minorHAnsi" w:hAnsiTheme="minorHAnsi" w:cstheme="minorHAnsi"/>
          <w:sz w:val="20"/>
          <w:szCs w:val="21"/>
          <w:lang w:val="en-US"/>
        </w:rPr>
        <w:t xml:space="preserve">Childbearing impeded education more than education impeded childbearing among Norwegian women, Pro- </w:t>
      </w:r>
      <w:proofErr w:type="spellStart"/>
      <w:r w:rsidRPr="00E233B9">
        <w:rPr>
          <w:rFonts w:asciiTheme="minorHAnsi" w:hAnsiTheme="minorHAnsi" w:cstheme="minorHAnsi"/>
          <w:sz w:val="20"/>
          <w:szCs w:val="21"/>
          <w:lang w:val="en-US"/>
        </w:rPr>
        <w:t>ceedings</w:t>
      </w:r>
      <w:proofErr w:type="spellEnd"/>
      <w:r w:rsidRPr="00E233B9">
        <w:rPr>
          <w:rFonts w:asciiTheme="minorHAnsi" w:hAnsiTheme="minorHAnsi" w:cstheme="minorHAnsi"/>
          <w:sz w:val="20"/>
          <w:szCs w:val="21"/>
          <w:lang w:val="en-US"/>
        </w:rPr>
        <w:t xml:space="preserve"> of the National Academy of Sciences 108(29): 11830–11835. </w:t>
      </w:r>
    </w:p>
    <w:p w14:paraId="2CF9D155" w14:textId="056C4E44" w:rsidR="001D797A" w:rsidRPr="00E233B9" w:rsidRDefault="001D797A" w:rsidP="00E233B9">
      <w:pPr>
        <w:spacing w:line="480" w:lineRule="auto"/>
        <w:jc w:val="both"/>
        <w:rPr>
          <w:rFonts w:asciiTheme="minorHAnsi" w:hAnsiTheme="minorHAnsi" w:cstheme="minorHAnsi"/>
          <w:sz w:val="20"/>
          <w:szCs w:val="21"/>
          <w:lang w:val="en-US"/>
        </w:rPr>
      </w:pPr>
      <w:r w:rsidRPr="00E233B9">
        <w:rPr>
          <w:rFonts w:asciiTheme="minorHAnsi" w:hAnsiTheme="minorHAnsi" w:cstheme="minorHAnsi"/>
          <w:color w:val="222222"/>
          <w:sz w:val="20"/>
          <w:szCs w:val="20"/>
          <w:shd w:val="clear" w:color="auto" w:fill="FFFFFF"/>
          <w:lang w:val="de-DE"/>
        </w:rPr>
        <w:t>DiPrete, T. A., &amp; Buchmann, C. (2013). </w:t>
      </w:r>
      <w:r w:rsidRPr="00E233B9">
        <w:rPr>
          <w:rFonts w:asciiTheme="minorHAnsi" w:hAnsiTheme="minorHAnsi" w:cstheme="minorHAnsi"/>
          <w:i/>
          <w:iCs/>
          <w:color w:val="222222"/>
          <w:sz w:val="20"/>
          <w:szCs w:val="20"/>
          <w:shd w:val="clear" w:color="auto" w:fill="FFFFFF"/>
        </w:rPr>
        <w:t>The rise of women: The growing gender gap in education and what it means for American schools</w:t>
      </w:r>
      <w:r w:rsidRPr="00E233B9">
        <w:rPr>
          <w:rFonts w:asciiTheme="minorHAnsi" w:hAnsiTheme="minorHAnsi" w:cstheme="minorHAnsi"/>
          <w:color w:val="222222"/>
          <w:sz w:val="20"/>
          <w:szCs w:val="20"/>
          <w:shd w:val="clear" w:color="auto" w:fill="FFFFFF"/>
        </w:rPr>
        <w:t>. Russell Sage Foundation.</w:t>
      </w:r>
    </w:p>
    <w:p w14:paraId="7CE0D131" w14:textId="77777777" w:rsidR="002152D3" w:rsidRPr="00E233B9" w:rsidRDefault="002152D3" w:rsidP="00E233B9">
      <w:pPr>
        <w:spacing w:line="480" w:lineRule="auto"/>
        <w:jc w:val="both"/>
        <w:rPr>
          <w:rFonts w:asciiTheme="minorHAnsi" w:hAnsiTheme="minorHAnsi" w:cstheme="minorHAnsi"/>
          <w:sz w:val="20"/>
          <w:szCs w:val="21"/>
          <w:lang w:val="en-US"/>
        </w:rPr>
      </w:pPr>
      <w:proofErr w:type="spellStart"/>
      <w:r w:rsidRPr="00E233B9">
        <w:rPr>
          <w:rFonts w:asciiTheme="minorHAnsi" w:hAnsiTheme="minorHAnsi" w:cstheme="minorHAnsi"/>
          <w:sz w:val="20"/>
          <w:szCs w:val="21"/>
          <w:lang w:val="en-US"/>
        </w:rPr>
        <w:lastRenderedPageBreak/>
        <w:t>Easterlin</w:t>
      </w:r>
      <w:proofErr w:type="spellEnd"/>
      <w:r w:rsidRPr="00E233B9">
        <w:rPr>
          <w:rFonts w:asciiTheme="minorHAnsi" w:hAnsiTheme="minorHAnsi" w:cstheme="minorHAnsi"/>
          <w:sz w:val="20"/>
          <w:szCs w:val="21"/>
          <w:lang w:val="en-US"/>
        </w:rPr>
        <w:t xml:space="preserve">, R.A. (1966). On the relation of economic factors to recent and projected fertility changes, Demography 3(1): 131–153. </w:t>
      </w:r>
    </w:p>
    <w:p w14:paraId="1FF782B8" w14:textId="7CB9093E" w:rsidR="00307C70" w:rsidRPr="00E233B9" w:rsidRDefault="00307C70" w:rsidP="00E233B9">
      <w:pPr>
        <w:spacing w:line="480" w:lineRule="auto"/>
        <w:jc w:val="both"/>
        <w:rPr>
          <w:rFonts w:asciiTheme="minorHAnsi" w:hAnsiTheme="minorHAnsi" w:cstheme="minorHAnsi"/>
          <w:sz w:val="20"/>
          <w:lang w:val="en-US"/>
        </w:rPr>
      </w:pPr>
      <w:r w:rsidRPr="00E233B9">
        <w:rPr>
          <w:rFonts w:asciiTheme="minorHAnsi" w:hAnsiTheme="minorHAnsi" w:cstheme="minorHAnsi"/>
          <w:sz w:val="20"/>
          <w:lang w:val="en-US"/>
        </w:rPr>
        <w:t xml:space="preserve">Esping-Andersen, G. (2009). </w:t>
      </w:r>
      <w:r w:rsidRPr="00E233B9">
        <w:rPr>
          <w:rFonts w:asciiTheme="minorHAnsi" w:hAnsiTheme="minorHAnsi" w:cstheme="minorHAnsi"/>
          <w:i/>
          <w:iCs/>
          <w:sz w:val="20"/>
          <w:lang w:val="en-US"/>
        </w:rPr>
        <w:t>The Incomplete Revolution: Adapting Welfare States to Women's New Roles</w:t>
      </w:r>
      <w:r w:rsidRPr="00E233B9">
        <w:rPr>
          <w:rFonts w:asciiTheme="minorHAnsi" w:hAnsiTheme="minorHAnsi" w:cstheme="minorHAnsi"/>
          <w:sz w:val="20"/>
          <w:lang w:val="en-US"/>
        </w:rPr>
        <w:t>. Cambridge, UK: Polity Press.</w:t>
      </w:r>
    </w:p>
    <w:p w14:paraId="385CC77C" w14:textId="264292F0" w:rsidR="005029DA" w:rsidRDefault="005029DA" w:rsidP="00E233B9">
      <w:pPr>
        <w:spacing w:line="480" w:lineRule="auto"/>
        <w:jc w:val="both"/>
        <w:rPr>
          <w:rFonts w:asciiTheme="minorHAnsi" w:hAnsiTheme="minorHAnsi" w:cstheme="minorHAnsi"/>
          <w:sz w:val="20"/>
          <w:lang w:val="en-US"/>
        </w:rPr>
      </w:pPr>
      <w:r w:rsidRPr="00E233B9">
        <w:rPr>
          <w:rFonts w:asciiTheme="minorHAnsi" w:hAnsiTheme="minorHAnsi" w:cstheme="minorHAnsi"/>
          <w:sz w:val="20"/>
          <w:lang w:val="en-US"/>
        </w:rPr>
        <w:t xml:space="preserve">Esping-Andersen, G. </w:t>
      </w:r>
      <w:r w:rsidR="00A275A9" w:rsidRPr="00E233B9">
        <w:rPr>
          <w:rFonts w:asciiTheme="minorHAnsi" w:hAnsiTheme="minorHAnsi" w:cstheme="minorHAnsi"/>
          <w:sz w:val="20"/>
          <w:lang w:val="en-US"/>
        </w:rPr>
        <w:t>&amp;</w:t>
      </w:r>
      <w:r w:rsidRPr="00E233B9">
        <w:rPr>
          <w:rFonts w:asciiTheme="minorHAnsi" w:hAnsiTheme="minorHAnsi" w:cstheme="minorHAnsi"/>
          <w:sz w:val="20"/>
          <w:lang w:val="en-US"/>
        </w:rPr>
        <w:t xml:space="preserve"> </w:t>
      </w:r>
      <w:proofErr w:type="spellStart"/>
      <w:r w:rsidRPr="00E233B9">
        <w:rPr>
          <w:rFonts w:asciiTheme="minorHAnsi" w:hAnsiTheme="minorHAnsi" w:cstheme="minorHAnsi"/>
          <w:sz w:val="20"/>
          <w:lang w:val="en-US"/>
        </w:rPr>
        <w:t>Billari</w:t>
      </w:r>
      <w:proofErr w:type="spellEnd"/>
      <w:r w:rsidRPr="00E233B9">
        <w:rPr>
          <w:rFonts w:asciiTheme="minorHAnsi" w:hAnsiTheme="minorHAnsi" w:cstheme="minorHAnsi"/>
          <w:sz w:val="20"/>
          <w:lang w:val="en-US"/>
        </w:rPr>
        <w:t>, F.C. (2015). Re-theorizing Family Demographics. Population and Development Review, 41: 1–31. doi:10.1111/j.1728-4457.2015.00024.x</w:t>
      </w:r>
    </w:p>
    <w:p w14:paraId="6E0396C6" w14:textId="77777777" w:rsidR="000A25BB" w:rsidRDefault="000A25BB" w:rsidP="000A25BB">
      <w:pPr>
        <w:spacing w:line="480" w:lineRule="auto"/>
        <w:jc w:val="both"/>
        <w:rPr>
          <w:rFonts w:asciiTheme="minorHAnsi" w:hAnsiTheme="minorHAnsi" w:cstheme="minorHAnsi"/>
          <w:sz w:val="20"/>
          <w:szCs w:val="21"/>
          <w:lang w:val="en-US"/>
        </w:rPr>
      </w:pPr>
      <w:r w:rsidRPr="00C91095">
        <w:rPr>
          <w:rFonts w:asciiTheme="minorHAnsi" w:hAnsiTheme="minorHAnsi" w:cstheme="minorHAnsi"/>
          <w:sz w:val="20"/>
          <w:szCs w:val="21"/>
        </w:rPr>
        <w:t xml:space="preserve">Flood, </w:t>
      </w:r>
      <w:r>
        <w:rPr>
          <w:rFonts w:asciiTheme="minorHAnsi" w:hAnsiTheme="minorHAnsi" w:cstheme="minorHAnsi"/>
          <w:sz w:val="20"/>
          <w:szCs w:val="21"/>
        </w:rPr>
        <w:t xml:space="preserve">S., </w:t>
      </w:r>
      <w:r w:rsidRPr="00C91095">
        <w:rPr>
          <w:rFonts w:asciiTheme="minorHAnsi" w:hAnsiTheme="minorHAnsi" w:cstheme="minorHAnsi"/>
          <w:sz w:val="20"/>
          <w:szCs w:val="21"/>
        </w:rPr>
        <w:t>King,</w:t>
      </w:r>
      <w:r>
        <w:rPr>
          <w:rFonts w:asciiTheme="minorHAnsi" w:hAnsiTheme="minorHAnsi" w:cstheme="minorHAnsi"/>
          <w:sz w:val="20"/>
          <w:szCs w:val="21"/>
        </w:rPr>
        <w:t xml:space="preserve"> M.,</w:t>
      </w:r>
      <w:r w:rsidRPr="00C91095">
        <w:rPr>
          <w:rFonts w:asciiTheme="minorHAnsi" w:hAnsiTheme="minorHAnsi" w:cstheme="minorHAnsi"/>
          <w:sz w:val="20"/>
          <w:szCs w:val="21"/>
        </w:rPr>
        <w:t xml:space="preserve"> </w:t>
      </w:r>
      <w:proofErr w:type="spellStart"/>
      <w:r w:rsidRPr="00C91095">
        <w:rPr>
          <w:rFonts w:asciiTheme="minorHAnsi" w:hAnsiTheme="minorHAnsi" w:cstheme="minorHAnsi"/>
          <w:sz w:val="20"/>
          <w:szCs w:val="21"/>
        </w:rPr>
        <w:t>Ruggles</w:t>
      </w:r>
      <w:proofErr w:type="spellEnd"/>
      <w:r w:rsidRPr="00C91095">
        <w:rPr>
          <w:rFonts w:asciiTheme="minorHAnsi" w:hAnsiTheme="minorHAnsi" w:cstheme="minorHAnsi"/>
          <w:sz w:val="20"/>
          <w:szCs w:val="21"/>
        </w:rPr>
        <w:t>,</w:t>
      </w:r>
      <w:r>
        <w:rPr>
          <w:rFonts w:asciiTheme="minorHAnsi" w:hAnsiTheme="minorHAnsi" w:cstheme="minorHAnsi"/>
          <w:sz w:val="20"/>
          <w:szCs w:val="21"/>
        </w:rPr>
        <w:t xml:space="preserve"> S.</w:t>
      </w:r>
      <w:r w:rsidRPr="00C91095">
        <w:rPr>
          <w:rFonts w:asciiTheme="minorHAnsi" w:hAnsiTheme="minorHAnsi" w:cstheme="minorHAnsi"/>
          <w:sz w:val="20"/>
          <w:szCs w:val="21"/>
        </w:rPr>
        <w:t xml:space="preserve"> and Warren</w:t>
      </w:r>
      <w:r>
        <w:rPr>
          <w:rFonts w:asciiTheme="minorHAnsi" w:hAnsiTheme="minorHAnsi" w:cstheme="minorHAnsi"/>
          <w:sz w:val="20"/>
          <w:szCs w:val="21"/>
        </w:rPr>
        <w:t xml:space="preserve">, </w:t>
      </w:r>
      <w:r w:rsidRPr="00C91095">
        <w:rPr>
          <w:rFonts w:asciiTheme="minorHAnsi" w:hAnsiTheme="minorHAnsi" w:cstheme="minorHAnsi"/>
          <w:sz w:val="20"/>
          <w:szCs w:val="21"/>
        </w:rPr>
        <w:t xml:space="preserve">J. </w:t>
      </w:r>
      <w:r>
        <w:rPr>
          <w:rFonts w:asciiTheme="minorHAnsi" w:hAnsiTheme="minorHAnsi" w:cstheme="minorHAnsi"/>
          <w:sz w:val="20"/>
          <w:szCs w:val="21"/>
        </w:rPr>
        <w:t>R. (2017)</w:t>
      </w:r>
      <w:r w:rsidRPr="00C91095">
        <w:rPr>
          <w:rFonts w:asciiTheme="minorHAnsi" w:hAnsiTheme="minorHAnsi" w:cstheme="minorHAnsi"/>
          <w:sz w:val="20"/>
          <w:szCs w:val="21"/>
        </w:rPr>
        <w:t>. Integrated Public Use Microdata Series, Current Population Survey: Version 5.0. [</w:t>
      </w:r>
      <w:proofErr w:type="gramStart"/>
      <w:r w:rsidRPr="00C91095">
        <w:rPr>
          <w:rFonts w:asciiTheme="minorHAnsi" w:hAnsiTheme="minorHAnsi" w:cstheme="minorHAnsi"/>
          <w:sz w:val="20"/>
          <w:szCs w:val="21"/>
        </w:rPr>
        <w:t>dataset</w:t>
      </w:r>
      <w:proofErr w:type="gramEnd"/>
      <w:r w:rsidRPr="00C91095">
        <w:rPr>
          <w:rFonts w:asciiTheme="minorHAnsi" w:hAnsiTheme="minorHAnsi" w:cstheme="minorHAnsi"/>
          <w:sz w:val="20"/>
          <w:szCs w:val="21"/>
        </w:rPr>
        <w:t>]. Minne</w:t>
      </w:r>
      <w:r>
        <w:rPr>
          <w:rFonts w:asciiTheme="minorHAnsi" w:hAnsiTheme="minorHAnsi" w:cstheme="minorHAnsi"/>
          <w:sz w:val="20"/>
          <w:szCs w:val="21"/>
        </w:rPr>
        <w:t>apolis: University of Minnesota,</w:t>
      </w:r>
      <w:r w:rsidRPr="00C91095">
        <w:rPr>
          <w:rFonts w:asciiTheme="minorHAnsi" w:hAnsiTheme="minorHAnsi" w:cstheme="minorHAnsi"/>
          <w:sz w:val="20"/>
          <w:szCs w:val="21"/>
        </w:rPr>
        <w:t xml:space="preserve"> </w:t>
      </w:r>
      <w:hyperlink r:id="rId14" w:history="1">
        <w:r w:rsidRPr="00C91095">
          <w:rPr>
            <w:rStyle w:val="Hyperlink"/>
            <w:rFonts w:asciiTheme="minorHAnsi" w:hAnsiTheme="minorHAnsi" w:cstheme="minorHAnsi"/>
            <w:sz w:val="20"/>
            <w:szCs w:val="21"/>
          </w:rPr>
          <w:t>https://doi.org/10.18128/D030.V5.0</w:t>
        </w:r>
      </w:hyperlink>
      <w:r w:rsidRPr="00C91095">
        <w:rPr>
          <w:rFonts w:asciiTheme="minorHAnsi" w:hAnsiTheme="minorHAnsi" w:cstheme="minorHAnsi"/>
          <w:sz w:val="20"/>
          <w:szCs w:val="21"/>
        </w:rPr>
        <w:t>.</w:t>
      </w:r>
    </w:p>
    <w:p w14:paraId="74507A15" w14:textId="219031EA" w:rsidR="00AE7E7B" w:rsidRPr="00E233B9" w:rsidRDefault="00AE7E7B" w:rsidP="00E233B9">
      <w:pPr>
        <w:spacing w:line="480" w:lineRule="auto"/>
        <w:jc w:val="both"/>
        <w:rPr>
          <w:rFonts w:asciiTheme="minorHAnsi" w:hAnsiTheme="minorHAnsi" w:cstheme="minorHAnsi"/>
          <w:sz w:val="20"/>
          <w:szCs w:val="21"/>
          <w:lang w:val="en-US"/>
        </w:rPr>
      </w:pPr>
      <w:r w:rsidRPr="00EF4D07">
        <w:rPr>
          <w:rFonts w:asciiTheme="minorHAnsi" w:hAnsiTheme="minorHAnsi" w:cstheme="minorHAnsi"/>
          <w:sz w:val="20"/>
          <w:szCs w:val="21"/>
          <w:lang w:val="en-US"/>
        </w:rPr>
        <w:t xml:space="preserve">Goldin, C. </w:t>
      </w:r>
      <w:r w:rsidR="00A275A9" w:rsidRPr="00EF4D07">
        <w:rPr>
          <w:rFonts w:asciiTheme="minorHAnsi" w:hAnsiTheme="minorHAnsi" w:cstheme="minorHAnsi"/>
          <w:sz w:val="20"/>
          <w:szCs w:val="21"/>
          <w:lang w:val="en-US"/>
        </w:rPr>
        <w:t>&amp;</w:t>
      </w:r>
      <w:r w:rsidRPr="00EF4D07">
        <w:rPr>
          <w:rFonts w:asciiTheme="minorHAnsi" w:hAnsiTheme="minorHAnsi" w:cstheme="minorHAnsi"/>
          <w:sz w:val="20"/>
          <w:szCs w:val="21"/>
          <w:lang w:val="en-US"/>
        </w:rPr>
        <w:t xml:space="preserve"> F. Katz L. (2002). </w:t>
      </w:r>
      <w:r w:rsidRPr="00E233B9">
        <w:rPr>
          <w:rFonts w:asciiTheme="minorHAnsi" w:hAnsiTheme="minorHAnsi" w:cstheme="minorHAnsi"/>
          <w:sz w:val="20"/>
          <w:szCs w:val="21"/>
          <w:lang w:val="en-US"/>
        </w:rPr>
        <w:t xml:space="preserve">The Power of the Pill: Oral Contraceptives and Women’s Career and Marriage Decisions. </w:t>
      </w:r>
      <w:r w:rsidRPr="00E233B9">
        <w:rPr>
          <w:rFonts w:asciiTheme="minorHAnsi" w:hAnsiTheme="minorHAnsi" w:cstheme="minorHAnsi"/>
          <w:i/>
          <w:iCs/>
          <w:sz w:val="20"/>
          <w:szCs w:val="21"/>
          <w:lang w:val="en-US"/>
        </w:rPr>
        <w:t>Journal of Political Economy</w:t>
      </w:r>
      <w:r w:rsidRPr="00E233B9">
        <w:rPr>
          <w:rFonts w:asciiTheme="minorHAnsi" w:hAnsiTheme="minorHAnsi" w:cstheme="minorHAnsi"/>
          <w:sz w:val="20"/>
          <w:szCs w:val="21"/>
          <w:lang w:val="en-US"/>
        </w:rPr>
        <w:t xml:space="preserve"> 110: 730-770.</w:t>
      </w:r>
    </w:p>
    <w:p w14:paraId="3A0D6F0A" w14:textId="77777777" w:rsidR="002152D3" w:rsidRPr="00E233B9" w:rsidRDefault="002152D3" w:rsidP="00E233B9">
      <w:pPr>
        <w:spacing w:line="480" w:lineRule="auto"/>
        <w:jc w:val="both"/>
        <w:rPr>
          <w:rFonts w:asciiTheme="minorHAnsi" w:hAnsiTheme="minorHAnsi" w:cstheme="minorHAnsi"/>
          <w:sz w:val="20"/>
          <w:szCs w:val="21"/>
          <w:lang w:val="en-US"/>
        </w:rPr>
      </w:pPr>
      <w:proofErr w:type="spellStart"/>
      <w:r w:rsidRPr="00E233B9">
        <w:rPr>
          <w:rFonts w:asciiTheme="minorHAnsi" w:hAnsiTheme="minorHAnsi" w:cstheme="minorHAnsi"/>
          <w:sz w:val="20"/>
          <w:szCs w:val="21"/>
          <w:lang w:val="en-US"/>
        </w:rPr>
        <w:t>Gustafsson</w:t>
      </w:r>
      <w:proofErr w:type="spellEnd"/>
      <w:r w:rsidRPr="00E233B9">
        <w:rPr>
          <w:rFonts w:asciiTheme="minorHAnsi" w:hAnsiTheme="minorHAnsi" w:cstheme="minorHAnsi"/>
          <w:sz w:val="20"/>
          <w:szCs w:val="21"/>
          <w:lang w:val="en-US"/>
        </w:rPr>
        <w:t xml:space="preserve">, S. &amp; A. </w:t>
      </w:r>
      <w:proofErr w:type="spellStart"/>
      <w:r w:rsidRPr="00E233B9">
        <w:rPr>
          <w:rFonts w:asciiTheme="minorHAnsi" w:hAnsiTheme="minorHAnsi" w:cstheme="minorHAnsi"/>
          <w:sz w:val="20"/>
          <w:szCs w:val="21"/>
          <w:lang w:val="en-US"/>
        </w:rPr>
        <w:t>Kalwij</w:t>
      </w:r>
      <w:proofErr w:type="spellEnd"/>
      <w:r w:rsidRPr="00E233B9">
        <w:rPr>
          <w:rFonts w:asciiTheme="minorHAnsi" w:hAnsiTheme="minorHAnsi" w:cstheme="minorHAnsi"/>
          <w:sz w:val="20"/>
          <w:szCs w:val="21"/>
          <w:lang w:val="en-US"/>
        </w:rPr>
        <w:t xml:space="preserve"> (</w:t>
      </w:r>
      <w:proofErr w:type="spellStart"/>
      <w:r w:rsidRPr="00E233B9">
        <w:rPr>
          <w:rFonts w:asciiTheme="minorHAnsi" w:hAnsiTheme="minorHAnsi" w:cstheme="minorHAnsi"/>
          <w:sz w:val="20"/>
          <w:szCs w:val="21"/>
          <w:lang w:val="en-US"/>
        </w:rPr>
        <w:t>Eds</w:t>
      </w:r>
      <w:proofErr w:type="spellEnd"/>
      <w:r w:rsidRPr="00E233B9">
        <w:rPr>
          <w:rFonts w:asciiTheme="minorHAnsi" w:hAnsiTheme="minorHAnsi" w:cstheme="minorHAnsi"/>
          <w:sz w:val="20"/>
          <w:szCs w:val="21"/>
          <w:lang w:val="en-US"/>
        </w:rPr>
        <w:t xml:space="preserve">) (2006). Education and Postponement of Maternity. Economic Analyses for Industrialized Countries. Dordrecht, NL: Kluwer Academic Publishers. </w:t>
      </w:r>
    </w:p>
    <w:p w14:paraId="3069B191" w14:textId="77777777" w:rsidR="002152D3" w:rsidRPr="00E233B9" w:rsidRDefault="002152D3" w:rsidP="00E233B9">
      <w:pPr>
        <w:spacing w:line="480" w:lineRule="auto"/>
        <w:jc w:val="both"/>
        <w:rPr>
          <w:rFonts w:asciiTheme="minorHAnsi" w:hAnsiTheme="minorHAnsi" w:cstheme="minorHAnsi"/>
          <w:sz w:val="20"/>
          <w:szCs w:val="21"/>
          <w:lang w:val="en-US"/>
        </w:rPr>
      </w:pPr>
      <w:proofErr w:type="spellStart"/>
      <w:r w:rsidRPr="00E233B9">
        <w:rPr>
          <w:rFonts w:asciiTheme="minorHAnsi" w:hAnsiTheme="minorHAnsi" w:cstheme="minorHAnsi"/>
          <w:sz w:val="20"/>
          <w:szCs w:val="21"/>
          <w:lang w:val="en-US"/>
        </w:rPr>
        <w:t>Hagestad</w:t>
      </w:r>
      <w:proofErr w:type="spellEnd"/>
      <w:r w:rsidRPr="00E233B9">
        <w:rPr>
          <w:rFonts w:asciiTheme="minorHAnsi" w:hAnsiTheme="minorHAnsi" w:cstheme="minorHAnsi"/>
          <w:sz w:val="20"/>
          <w:szCs w:val="21"/>
          <w:lang w:val="en-US"/>
        </w:rPr>
        <w:t xml:space="preserve">, G.O. &amp; V.R.A. Call (2007). Pathways to childlessness: a life course perspective, Journal of Family Issues 28(10): 1338–1361. </w:t>
      </w:r>
    </w:p>
    <w:p w14:paraId="61CDE6D5" w14:textId="77777777" w:rsidR="002152D3" w:rsidRPr="00E233B9" w:rsidRDefault="002152D3" w:rsidP="00E233B9">
      <w:pPr>
        <w:spacing w:line="480" w:lineRule="auto"/>
        <w:jc w:val="both"/>
        <w:rPr>
          <w:rFonts w:asciiTheme="minorHAnsi" w:hAnsiTheme="minorHAnsi" w:cstheme="minorHAnsi"/>
          <w:sz w:val="20"/>
          <w:szCs w:val="21"/>
          <w:lang w:val="en-US"/>
        </w:rPr>
      </w:pPr>
      <w:proofErr w:type="spellStart"/>
      <w:r w:rsidRPr="00E233B9">
        <w:rPr>
          <w:rFonts w:asciiTheme="minorHAnsi" w:hAnsiTheme="minorHAnsi" w:cstheme="minorHAnsi"/>
          <w:sz w:val="20"/>
          <w:szCs w:val="21"/>
          <w:lang w:val="en-US"/>
        </w:rPr>
        <w:t>Hazan</w:t>
      </w:r>
      <w:proofErr w:type="spellEnd"/>
      <w:r w:rsidRPr="00E233B9">
        <w:rPr>
          <w:rFonts w:asciiTheme="minorHAnsi" w:hAnsiTheme="minorHAnsi" w:cstheme="minorHAnsi"/>
          <w:sz w:val="20"/>
          <w:szCs w:val="21"/>
          <w:lang w:val="en-US"/>
        </w:rPr>
        <w:t xml:space="preserve">, M. &amp; </w:t>
      </w:r>
      <w:proofErr w:type="spellStart"/>
      <w:r w:rsidRPr="00E233B9">
        <w:rPr>
          <w:rFonts w:asciiTheme="minorHAnsi" w:hAnsiTheme="minorHAnsi" w:cstheme="minorHAnsi"/>
          <w:sz w:val="20"/>
          <w:szCs w:val="21"/>
          <w:lang w:val="en-US"/>
        </w:rPr>
        <w:t>Zoabi</w:t>
      </w:r>
      <w:proofErr w:type="spellEnd"/>
      <w:r w:rsidRPr="00E233B9">
        <w:rPr>
          <w:rFonts w:asciiTheme="minorHAnsi" w:hAnsiTheme="minorHAnsi" w:cstheme="minorHAnsi"/>
          <w:sz w:val="20"/>
          <w:szCs w:val="21"/>
          <w:lang w:val="en-US"/>
        </w:rPr>
        <w:t>, H. (2015), Do Highly Educated Women Choose Smaller Families? Econ J, 125: 1191–1226. doi:10.1111/ecoj.12148</w:t>
      </w:r>
    </w:p>
    <w:p w14:paraId="3DE71C6E" w14:textId="1BBF2F1B" w:rsidR="00C86815" w:rsidRPr="00E233B9" w:rsidRDefault="00C86815" w:rsidP="00E233B9">
      <w:pPr>
        <w:spacing w:line="480" w:lineRule="auto"/>
        <w:jc w:val="both"/>
        <w:rPr>
          <w:rFonts w:asciiTheme="minorHAnsi" w:hAnsiTheme="minorHAnsi" w:cstheme="minorHAnsi"/>
          <w:sz w:val="20"/>
          <w:lang w:val="en-US"/>
        </w:rPr>
      </w:pPr>
      <w:proofErr w:type="spellStart"/>
      <w:r w:rsidRPr="00E233B9">
        <w:rPr>
          <w:rFonts w:asciiTheme="minorHAnsi" w:hAnsiTheme="minorHAnsi" w:cstheme="minorHAnsi"/>
          <w:sz w:val="20"/>
          <w:lang w:val="en-US"/>
        </w:rPr>
        <w:t>Jalovaara</w:t>
      </w:r>
      <w:proofErr w:type="spellEnd"/>
      <w:r w:rsidRPr="00E233B9">
        <w:rPr>
          <w:rFonts w:asciiTheme="minorHAnsi" w:hAnsiTheme="minorHAnsi" w:cstheme="minorHAnsi"/>
          <w:sz w:val="20"/>
          <w:lang w:val="en-US"/>
        </w:rPr>
        <w:t xml:space="preserve">, M., </w:t>
      </w:r>
      <w:proofErr w:type="spellStart"/>
      <w:r w:rsidRPr="00E233B9">
        <w:rPr>
          <w:rFonts w:asciiTheme="minorHAnsi" w:hAnsiTheme="minorHAnsi" w:cstheme="minorHAnsi"/>
          <w:sz w:val="20"/>
          <w:lang w:val="en-US"/>
        </w:rPr>
        <w:t>Neyer</w:t>
      </w:r>
      <w:proofErr w:type="spellEnd"/>
      <w:r w:rsidRPr="00E233B9">
        <w:rPr>
          <w:rFonts w:asciiTheme="minorHAnsi" w:hAnsiTheme="minorHAnsi" w:cstheme="minorHAnsi"/>
          <w:sz w:val="20"/>
          <w:lang w:val="en-US"/>
        </w:rPr>
        <w:t xml:space="preserve">, G., </w:t>
      </w:r>
      <w:proofErr w:type="spellStart"/>
      <w:r w:rsidRPr="00E233B9">
        <w:rPr>
          <w:rFonts w:asciiTheme="minorHAnsi" w:hAnsiTheme="minorHAnsi" w:cstheme="minorHAnsi"/>
          <w:sz w:val="20"/>
          <w:lang w:val="en-US"/>
        </w:rPr>
        <w:t>Andersson</w:t>
      </w:r>
      <w:proofErr w:type="spellEnd"/>
      <w:r w:rsidRPr="00E233B9">
        <w:rPr>
          <w:rFonts w:asciiTheme="minorHAnsi" w:hAnsiTheme="minorHAnsi" w:cstheme="minorHAnsi"/>
          <w:sz w:val="20"/>
          <w:lang w:val="en-US"/>
        </w:rPr>
        <w:t xml:space="preserve">, G., Dahlberg, J., </w:t>
      </w:r>
      <w:proofErr w:type="spellStart"/>
      <w:r w:rsidRPr="00E233B9">
        <w:rPr>
          <w:rFonts w:asciiTheme="minorHAnsi" w:hAnsiTheme="minorHAnsi" w:cstheme="minorHAnsi"/>
          <w:sz w:val="20"/>
          <w:lang w:val="en-US"/>
        </w:rPr>
        <w:t>Dommermuth</w:t>
      </w:r>
      <w:proofErr w:type="spellEnd"/>
      <w:r w:rsidRPr="00E233B9">
        <w:rPr>
          <w:rFonts w:asciiTheme="minorHAnsi" w:hAnsiTheme="minorHAnsi" w:cstheme="minorHAnsi"/>
          <w:sz w:val="20"/>
          <w:lang w:val="en-US"/>
        </w:rPr>
        <w:t xml:space="preserve">, L., </w:t>
      </w:r>
      <w:proofErr w:type="spellStart"/>
      <w:r w:rsidRPr="00E233B9">
        <w:rPr>
          <w:rFonts w:asciiTheme="minorHAnsi" w:hAnsiTheme="minorHAnsi" w:cstheme="minorHAnsi"/>
          <w:sz w:val="20"/>
          <w:lang w:val="en-US"/>
        </w:rPr>
        <w:t>Fallesen</w:t>
      </w:r>
      <w:proofErr w:type="spellEnd"/>
      <w:r w:rsidRPr="00E233B9">
        <w:rPr>
          <w:rFonts w:asciiTheme="minorHAnsi" w:hAnsiTheme="minorHAnsi" w:cstheme="minorHAnsi"/>
          <w:sz w:val="20"/>
          <w:lang w:val="en-US"/>
        </w:rPr>
        <w:t>, P.</w:t>
      </w:r>
      <w:r w:rsidR="00A275A9" w:rsidRPr="00E233B9">
        <w:rPr>
          <w:rFonts w:asciiTheme="minorHAnsi" w:hAnsiTheme="minorHAnsi" w:cstheme="minorHAnsi"/>
          <w:sz w:val="20"/>
          <w:lang w:val="en-US"/>
        </w:rPr>
        <w:t xml:space="preserve"> </w:t>
      </w:r>
      <w:r w:rsidRPr="00E233B9">
        <w:rPr>
          <w:rFonts w:asciiTheme="minorHAnsi" w:hAnsiTheme="minorHAnsi" w:cstheme="minorHAnsi"/>
          <w:sz w:val="20"/>
          <w:lang w:val="en-US"/>
        </w:rPr>
        <w:t xml:space="preserve">&amp; </w:t>
      </w:r>
      <w:proofErr w:type="spellStart"/>
      <w:r w:rsidRPr="00E233B9">
        <w:rPr>
          <w:rFonts w:asciiTheme="minorHAnsi" w:hAnsiTheme="minorHAnsi" w:cstheme="minorHAnsi"/>
          <w:sz w:val="20"/>
          <w:lang w:val="en-US"/>
        </w:rPr>
        <w:t>Lappegård</w:t>
      </w:r>
      <w:proofErr w:type="spellEnd"/>
      <w:r w:rsidRPr="00E233B9">
        <w:rPr>
          <w:rFonts w:asciiTheme="minorHAnsi" w:hAnsiTheme="minorHAnsi" w:cstheme="minorHAnsi"/>
          <w:sz w:val="20"/>
          <w:lang w:val="en-US"/>
        </w:rPr>
        <w:t xml:space="preserve">, T. (2017). Education, gender, and cohort fertility in the Nordic countries. </w:t>
      </w:r>
      <w:r w:rsidRPr="00E233B9">
        <w:rPr>
          <w:rFonts w:asciiTheme="minorHAnsi" w:hAnsiTheme="minorHAnsi" w:cstheme="minorHAnsi"/>
          <w:i/>
          <w:iCs/>
          <w:sz w:val="20"/>
          <w:lang w:val="en-US"/>
        </w:rPr>
        <w:t>Stockholm Research Reports in Demography 2017: 6</w:t>
      </w:r>
      <w:r w:rsidRPr="00E233B9">
        <w:rPr>
          <w:rFonts w:asciiTheme="minorHAnsi" w:hAnsiTheme="minorHAnsi" w:cstheme="minorHAnsi"/>
          <w:sz w:val="20"/>
          <w:lang w:val="en-US"/>
        </w:rPr>
        <w:t>.</w:t>
      </w:r>
    </w:p>
    <w:p w14:paraId="779049AF" w14:textId="2499FF8D" w:rsidR="005A5CA6" w:rsidRPr="00E233B9" w:rsidRDefault="005A5CA6" w:rsidP="00E233B9">
      <w:pPr>
        <w:spacing w:line="480" w:lineRule="auto"/>
        <w:jc w:val="both"/>
        <w:rPr>
          <w:rFonts w:asciiTheme="minorHAnsi" w:hAnsiTheme="minorHAnsi" w:cstheme="minorHAnsi"/>
          <w:sz w:val="20"/>
          <w:szCs w:val="21"/>
          <w:lang w:val="en-US"/>
        </w:rPr>
      </w:pPr>
      <w:proofErr w:type="spellStart"/>
      <w:r w:rsidRPr="00E233B9">
        <w:rPr>
          <w:rFonts w:asciiTheme="minorHAnsi" w:hAnsiTheme="minorHAnsi" w:cstheme="minorHAnsi"/>
          <w:sz w:val="20"/>
          <w:szCs w:val="21"/>
          <w:lang w:val="en-US"/>
        </w:rPr>
        <w:t>Jerman</w:t>
      </w:r>
      <w:proofErr w:type="spellEnd"/>
      <w:r w:rsidRPr="00E233B9">
        <w:rPr>
          <w:rFonts w:asciiTheme="minorHAnsi" w:hAnsiTheme="minorHAnsi" w:cstheme="minorHAnsi"/>
          <w:sz w:val="20"/>
          <w:szCs w:val="21"/>
          <w:lang w:val="en-US"/>
        </w:rPr>
        <w:t xml:space="preserve">, J., R.K. Jones &amp; T. </w:t>
      </w:r>
      <w:proofErr w:type="spellStart"/>
      <w:r w:rsidRPr="00E233B9">
        <w:rPr>
          <w:rFonts w:asciiTheme="minorHAnsi" w:hAnsiTheme="minorHAnsi" w:cstheme="minorHAnsi"/>
          <w:sz w:val="20"/>
          <w:szCs w:val="21"/>
          <w:lang w:val="en-US"/>
        </w:rPr>
        <w:t>Onda</w:t>
      </w:r>
      <w:proofErr w:type="spellEnd"/>
      <w:r w:rsidRPr="00E233B9">
        <w:rPr>
          <w:rFonts w:asciiTheme="minorHAnsi" w:hAnsiTheme="minorHAnsi" w:cstheme="minorHAnsi"/>
          <w:sz w:val="20"/>
          <w:szCs w:val="21"/>
          <w:lang w:val="en-US"/>
        </w:rPr>
        <w:t xml:space="preserve"> (2016). </w:t>
      </w:r>
      <w:r w:rsidRPr="00E233B9">
        <w:rPr>
          <w:rFonts w:asciiTheme="minorHAnsi" w:hAnsiTheme="minorHAnsi" w:cstheme="minorHAnsi"/>
          <w:i/>
          <w:iCs/>
          <w:sz w:val="20"/>
          <w:szCs w:val="21"/>
          <w:lang w:val="en-US"/>
        </w:rPr>
        <w:t xml:space="preserve">Characteristics of U.S. Abortion Patients in 2014 and Changes </w:t>
      </w:r>
      <w:proofErr w:type="gramStart"/>
      <w:r w:rsidRPr="00E233B9">
        <w:rPr>
          <w:rFonts w:asciiTheme="minorHAnsi" w:hAnsiTheme="minorHAnsi" w:cstheme="minorHAnsi"/>
          <w:i/>
          <w:iCs/>
          <w:sz w:val="20"/>
          <w:szCs w:val="21"/>
          <w:lang w:val="en-US"/>
        </w:rPr>
        <w:t>Since</w:t>
      </w:r>
      <w:proofErr w:type="gramEnd"/>
      <w:r w:rsidRPr="00E233B9">
        <w:rPr>
          <w:rFonts w:asciiTheme="minorHAnsi" w:hAnsiTheme="minorHAnsi" w:cstheme="minorHAnsi"/>
          <w:i/>
          <w:iCs/>
          <w:sz w:val="20"/>
          <w:szCs w:val="21"/>
          <w:lang w:val="en-US"/>
        </w:rPr>
        <w:t xml:space="preserve"> 2008, </w:t>
      </w:r>
      <w:r w:rsidRPr="00E233B9">
        <w:rPr>
          <w:rFonts w:asciiTheme="minorHAnsi" w:hAnsiTheme="minorHAnsi" w:cstheme="minorHAnsi"/>
          <w:sz w:val="20"/>
          <w:szCs w:val="21"/>
          <w:lang w:val="en-US"/>
        </w:rPr>
        <w:t xml:space="preserve">New York: </w:t>
      </w:r>
      <w:proofErr w:type="spellStart"/>
      <w:r w:rsidRPr="00E233B9">
        <w:rPr>
          <w:rFonts w:asciiTheme="minorHAnsi" w:hAnsiTheme="minorHAnsi" w:cstheme="minorHAnsi"/>
          <w:sz w:val="20"/>
          <w:szCs w:val="21"/>
          <w:lang w:val="en-US"/>
        </w:rPr>
        <w:t>Guttmacher</w:t>
      </w:r>
      <w:proofErr w:type="spellEnd"/>
      <w:r w:rsidRPr="00E233B9">
        <w:rPr>
          <w:rFonts w:asciiTheme="minorHAnsi" w:hAnsiTheme="minorHAnsi" w:cstheme="minorHAnsi"/>
          <w:sz w:val="20"/>
          <w:szCs w:val="21"/>
          <w:lang w:val="en-US"/>
        </w:rPr>
        <w:t xml:space="preserve"> Institute</w:t>
      </w:r>
      <w:r w:rsidR="00AE0EF0" w:rsidRPr="00E233B9">
        <w:rPr>
          <w:rFonts w:asciiTheme="minorHAnsi" w:hAnsiTheme="minorHAnsi" w:cstheme="minorHAnsi"/>
          <w:sz w:val="20"/>
          <w:szCs w:val="21"/>
          <w:lang w:val="en-US"/>
        </w:rPr>
        <w:t>.</w:t>
      </w:r>
      <w:r w:rsidRPr="00E233B9">
        <w:rPr>
          <w:rFonts w:asciiTheme="minorHAnsi" w:hAnsiTheme="minorHAnsi" w:cstheme="minorHAnsi"/>
          <w:sz w:val="20"/>
          <w:szCs w:val="21"/>
          <w:lang w:val="en-US"/>
        </w:rPr>
        <w:t xml:space="preserve"> </w:t>
      </w:r>
    </w:p>
    <w:p w14:paraId="3ED60181" w14:textId="77777777" w:rsidR="002152D3" w:rsidRPr="00E233B9" w:rsidRDefault="002152D3" w:rsidP="00E233B9">
      <w:pPr>
        <w:spacing w:line="480" w:lineRule="auto"/>
        <w:jc w:val="both"/>
        <w:rPr>
          <w:rFonts w:asciiTheme="minorHAnsi" w:hAnsiTheme="minorHAnsi" w:cstheme="minorHAnsi"/>
          <w:sz w:val="20"/>
          <w:szCs w:val="21"/>
          <w:lang w:val="en-US"/>
        </w:rPr>
      </w:pPr>
      <w:proofErr w:type="spellStart"/>
      <w:r w:rsidRPr="00E233B9">
        <w:rPr>
          <w:rFonts w:asciiTheme="minorHAnsi" w:hAnsiTheme="minorHAnsi" w:cstheme="minorHAnsi"/>
          <w:sz w:val="20"/>
          <w:szCs w:val="21"/>
          <w:lang w:val="en-US"/>
        </w:rPr>
        <w:t>Kneale</w:t>
      </w:r>
      <w:proofErr w:type="spellEnd"/>
      <w:r w:rsidRPr="00E233B9">
        <w:rPr>
          <w:rFonts w:asciiTheme="minorHAnsi" w:hAnsiTheme="minorHAnsi" w:cstheme="minorHAnsi"/>
          <w:sz w:val="20"/>
          <w:szCs w:val="21"/>
          <w:lang w:val="en-US"/>
        </w:rPr>
        <w:t>, Dylan &amp; Heather Joshi. (2008). Postponement and childlessness – evidence from two British cohorts, Demographic Research 19(58): 1935–1968.</w:t>
      </w:r>
    </w:p>
    <w:p w14:paraId="33048449" w14:textId="77777777" w:rsidR="002152D3" w:rsidRPr="00E233B9" w:rsidRDefault="002152D3" w:rsidP="00E233B9">
      <w:pPr>
        <w:spacing w:line="480" w:lineRule="auto"/>
        <w:jc w:val="both"/>
        <w:rPr>
          <w:rFonts w:asciiTheme="minorHAnsi" w:hAnsiTheme="minorHAnsi" w:cstheme="minorHAnsi"/>
          <w:sz w:val="20"/>
          <w:szCs w:val="21"/>
          <w:lang w:val="en-US"/>
        </w:rPr>
      </w:pPr>
      <w:r w:rsidRPr="00E233B9">
        <w:rPr>
          <w:rFonts w:asciiTheme="minorHAnsi" w:hAnsiTheme="minorHAnsi" w:cstheme="minorHAnsi"/>
          <w:sz w:val="20"/>
          <w:szCs w:val="21"/>
          <w:lang w:val="de-DE"/>
        </w:rPr>
        <w:lastRenderedPageBreak/>
        <w:t xml:space="preserve">Kravdal, Ø. &amp; R.R. Rindfuss. </w:t>
      </w:r>
      <w:r w:rsidRPr="00E233B9">
        <w:rPr>
          <w:rFonts w:asciiTheme="minorHAnsi" w:hAnsiTheme="minorHAnsi" w:cstheme="minorHAnsi"/>
          <w:sz w:val="20"/>
          <w:szCs w:val="21"/>
          <w:lang w:val="en-US"/>
        </w:rPr>
        <w:t xml:space="preserve">(2008). Chan- </w:t>
      </w:r>
      <w:proofErr w:type="spellStart"/>
      <w:r w:rsidRPr="00E233B9">
        <w:rPr>
          <w:rFonts w:asciiTheme="minorHAnsi" w:hAnsiTheme="minorHAnsi" w:cstheme="minorHAnsi"/>
          <w:sz w:val="20"/>
          <w:szCs w:val="21"/>
          <w:lang w:val="en-US"/>
        </w:rPr>
        <w:t>ging</w:t>
      </w:r>
      <w:proofErr w:type="spellEnd"/>
      <w:r w:rsidRPr="00E233B9">
        <w:rPr>
          <w:rFonts w:asciiTheme="minorHAnsi" w:hAnsiTheme="minorHAnsi" w:cstheme="minorHAnsi"/>
          <w:sz w:val="20"/>
          <w:szCs w:val="21"/>
          <w:lang w:val="en-US"/>
        </w:rPr>
        <w:t xml:space="preserve"> relationships between education and fertility – a study of women and men born 1940–64, American Sociological Review 73(5): 854–873. </w:t>
      </w:r>
    </w:p>
    <w:p w14:paraId="4F53B6DD" w14:textId="53EB9561" w:rsidR="002152D3" w:rsidRPr="00E233B9" w:rsidRDefault="002152D3" w:rsidP="00E233B9">
      <w:pPr>
        <w:spacing w:line="480" w:lineRule="auto"/>
        <w:jc w:val="both"/>
        <w:rPr>
          <w:rFonts w:asciiTheme="minorHAnsi" w:hAnsiTheme="minorHAnsi" w:cstheme="minorHAnsi"/>
          <w:sz w:val="20"/>
          <w:szCs w:val="21"/>
          <w:lang w:val="en-US"/>
        </w:rPr>
      </w:pPr>
      <w:proofErr w:type="spellStart"/>
      <w:r w:rsidRPr="00E233B9">
        <w:rPr>
          <w:rFonts w:asciiTheme="minorHAnsi" w:hAnsiTheme="minorHAnsi" w:cstheme="minorHAnsi"/>
          <w:sz w:val="20"/>
          <w:szCs w:val="21"/>
          <w:lang w:val="en-US"/>
        </w:rPr>
        <w:t>Liefbroer</w:t>
      </w:r>
      <w:proofErr w:type="spellEnd"/>
      <w:r w:rsidRPr="00E233B9">
        <w:rPr>
          <w:rFonts w:asciiTheme="minorHAnsi" w:hAnsiTheme="minorHAnsi" w:cstheme="minorHAnsi"/>
          <w:sz w:val="20"/>
          <w:szCs w:val="21"/>
          <w:lang w:val="en-US"/>
        </w:rPr>
        <w:t xml:space="preserve">, A.C. &amp; M. </w:t>
      </w:r>
      <w:proofErr w:type="spellStart"/>
      <w:r w:rsidRPr="00E233B9">
        <w:rPr>
          <w:rFonts w:asciiTheme="minorHAnsi" w:hAnsiTheme="minorHAnsi" w:cstheme="minorHAnsi"/>
          <w:sz w:val="20"/>
          <w:szCs w:val="21"/>
          <w:lang w:val="en-US"/>
        </w:rPr>
        <w:t>Corijn</w:t>
      </w:r>
      <w:proofErr w:type="spellEnd"/>
      <w:r w:rsidRPr="00E233B9">
        <w:rPr>
          <w:rFonts w:asciiTheme="minorHAnsi" w:hAnsiTheme="minorHAnsi" w:cstheme="minorHAnsi"/>
          <w:sz w:val="20"/>
          <w:szCs w:val="21"/>
          <w:lang w:val="en-US"/>
        </w:rPr>
        <w:t xml:space="preserve"> (1999). Who, what, where, and when? Specifying the impact of educational attainment and </w:t>
      </w:r>
      <w:proofErr w:type="spellStart"/>
      <w:r w:rsidRPr="00E233B9">
        <w:rPr>
          <w:rFonts w:asciiTheme="minorHAnsi" w:hAnsiTheme="minorHAnsi" w:cstheme="minorHAnsi"/>
          <w:sz w:val="20"/>
          <w:szCs w:val="21"/>
          <w:lang w:val="en-US"/>
        </w:rPr>
        <w:t>labour</w:t>
      </w:r>
      <w:proofErr w:type="spellEnd"/>
      <w:r w:rsidRPr="00E233B9">
        <w:rPr>
          <w:rFonts w:asciiTheme="minorHAnsi" w:hAnsiTheme="minorHAnsi" w:cstheme="minorHAnsi"/>
          <w:sz w:val="20"/>
          <w:szCs w:val="21"/>
          <w:lang w:val="en-US"/>
        </w:rPr>
        <w:t xml:space="preserve"> force participation on family formation, </w:t>
      </w:r>
      <w:r w:rsidRPr="00E233B9">
        <w:rPr>
          <w:rFonts w:asciiTheme="minorHAnsi" w:hAnsiTheme="minorHAnsi" w:cstheme="minorHAnsi"/>
          <w:i/>
          <w:sz w:val="20"/>
          <w:szCs w:val="21"/>
          <w:lang w:val="en-US"/>
        </w:rPr>
        <w:t>European Journal of Population</w:t>
      </w:r>
      <w:r w:rsidRPr="00E233B9">
        <w:rPr>
          <w:rFonts w:asciiTheme="minorHAnsi" w:hAnsiTheme="minorHAnsi" w:cstheme="minorHAnsi"/>
          <w:sz w:val="20"/>
          <w:szCs w:val="21"/>
          <w:lang w:val="en-US"/>
        </w:rPr>
        <w:t xml:space="preserve"> 15: 45–75. </w:t>
      </w:r>
    </w:p>
    <w:p w14:paraId="66E21140" w14:textId="439C0DE1" w:rsidR="00456F4C" w:rsidRDefault="001018F6" w:rsidP="00E233B9">
      <w:pPr>
        <w:spacing w:line="480" w:lineRule="auto"/>
        <w:jc w:val="both"/>
        <w:rPr>
          <w:rFonts w:asciiTheme="minorHAnsi" w:hAnsiTheme="minorHAnsi" w:cstheme="minorHAnsi"/>
          <w:sz w:val="20"/>
          <w:lang w:val="en-US"/>
        </w:rPr>
      </w:pPr>
      <w:r w:rsidRPr="00E233B9">
        <w:rPr>
          <w:rFonts w:asciiTheme="minorHAnsi" w:hAnsiTheme="minorHAnsi" w:cstheme="minorHAnsi"/>
          <w:sz w:val="20"/>
          <w:lang w:val="en-US"/>
        </w:rPr>
        <w:t>Lutz, W.</w:t>
      </w:r>
      <w:r w:rsidR="005B3A11" w:rsidRPr="00E233B9">
        <w:rPr>
          <w:rFonts w:asciiTheme="minorHAnsi" w:hAnsiTheme="minorHAnsi" w:cstheme="minorHAnsi"/>
          <w:sz w:val="20"/>
          <w:lang w:val="en-US"/>
        </w:rPr>
        <w:t xml:space="preserve"> (2013).</w:t>
      </w:r>
      <w:r w:rsidRPr="00E233B9">
        <w:rPr>
          <w:rFonts w:asciiTheme="minorHAnsi" w:hAnsiTheme="minorHAnsi" w:cstheme="minorHAnsi"/>
          <w:sz w:val="20"/>
          <w:lang w:val="en-US"/>
        </w:rPr>
        <w:t xml:space="preserve"> Demographic metabolism: A predictive theory of socioeconomic change. </w:t>
      </w:r>
      <w:proofErr w:type="spellStart"/>
      <w:r w:rsidRPr="00E233B9">
        <w:rPr>
          <w:rFonts w:asciiTheme="minorHAnsi" w:hAnsiTheme="minorHAnsi" w:cstheme="minorHAnsi"/>
          <w:sz w:val="20"/>
          <w:lang w:val="en-US"/>
        </w:rPr>
        <w:t>Popul</w:t>
      </w:r>
      <w:proofErr w:type="spellEnd"/>
      <w:r w:rsidRPr="00E233B9">
        <w:rPr>
          <w:rFonts w:asciiTheme="minorHAnsi" w:hAnsiTheme="minorHAnsi" w:cstheme="minorHAnsi"/>
          <w:sz w:val="20"/>
          <w:lang w:val="en-US"/>
        </w:rPr>
        <w:t>. Dev. Rev. 38, 283–301.</w:t>
      </w:r>
    </w:p>
    <w:p w14:paraId="60CA376C" w14:textId="77777777" w:rsidR="000016C6" w:rsidRPr="000016C6" w:rsidRDefault="000016C6" w:rsidP="00E233B9">
      <w:pPr>
        <w:spacing w:line="480" w:lineRule="auto"/>
        <w:jc w:val="both"/>
        <w:rPr>
          <w:rFonts w:asciiTheme="minorHAnsi" w:hAnsiTheme="minorHAnsi" w:cstheme="minorHAnsi"/>
          <w:sz w:val="20"/>
          <w:lang w:val="en-US"/>
        </w:rPr>
      </w:pPr>
      <w:r w:rsidRPr="000016C6">
        <w:rPr>
          <w:rFonts w:asciiTheme="minorHAnsi" w:hAnsiTheme="minorHAnsi" w:cstheme="minorHAnsi"/>
          <w:sz w:val="20"/>
          <w:lang w:val="en-US"/>
        </w:rPr>
        <w:t xml:space="preserve">Mason, W. M., &amp; </w:t>
      </w:r>
      <w:proofErr w:type="spellStart"/>
      <w:r w:rsidRPr="000016C6">
        <w:rPr>
          <w:rFonts w:asciiTheme="minorHAnsi" w:hAnsiTheme="minorHAnsi" w:cstheme="minorHAnsi"/>
          <w:sz w:val="20"/>
          <w:lang w:val="en-US"/>
        </w:rPr>
        <w:t>Wolfinger</w:t>
      </w:r>
      <w:proofErr w:type="spellEnd"/>
      <w:r w:rsidRPr="000016C6">
        <w:rPr>
          <w:rFonts w:asciiTheme="minorHAnsi" w:hAnsiTheme="minorHAnsi" w:cstheme="minorHAnsi"/>
          <w:sz w:val="20"/>
          <w:lang w:val="en-US"/>
        </w:rPr>
        <w:t xml:space="preserve">, N. H. (2001). Cohort analysis, </w:t>
      </w:r>
      <w:r w:rsidRPr="000016C6">
        <w:rPr>
          <w:rFonts w:asciiTheme="minorHAnsi" w:hAnsiTheme="minorHAnsi" w:cstheme="minorHAnsi"/>
          <w:i/>
          <w:iCs/>
          <w:sz w:val="20"/>
          <w:lang w:val="en-US"/>
        </w:rPr>
        <w:t>International Encyclopedia of the Social &amp; Behavioral Sciences</w:t>
      </w:r>
      <w:r w:rsidRPr="000016C6">
        <w:rPr>
          <w:rFonts w:asciiTheme="minorHAnsi" w:hAnsiTheme="minorHAnsi" w:cstheme="minorHAnsi"/>
          <w:sz w:val="20"/>
          <w:lang w:val="en-US"/>
        </w:rPr>
        <w:t xml:space="preserve">. Oxford: </w:t>
      </w:r>
      <w:proofErr w:type="spellStart"/>
      <w:r w:rsidRPr="000016C6">
        <w:rPr>
          <w:rFonts w:asciiTheme="minorHAnsi" w:hAnsiTheme="minorHAnsi" w:cstheme="minorHAnsi"/>
          <w:sz w:val="20"/>
          <w:lang w:val="en-US"/>
        </w:rPr>
        <w:t>Pergamon</w:t>
      </w:r>
      <w:proofErr w:type="spellEnd"/>
      <w:r w:rsidRPr="000016C6">
        <w:rPr>
          <w:rFonts w:asciiTheme="minorHAnsi" w:hAnsiTheme="minorHAnsi" w:cstheme="minorHAnsi"/>
          <w:sz w:val="20"/>
          <w:lang w:val="en-US"/>
        </w:rPr>
        <w:t>. p. 2189-94.</w:t>
      </w:r>
    </w:p>
    <w:p w14:paraId="11AB96E7" w14:textId="076F646F" w:rsidR="00B61F9A" w:rsidRPr="00E233B9" w:rsidRDefault="00B61F9A" w:rsidP="00E233B9">
      <w:pPr>
        <w:spacing w:line="480" w:lineRule="auto"/>
        <w:jc w:val="both"/>
        <w:rPr>
          <w:rFonts w:asciiTheme="minorHAnsi" w:hAnsiTheme="minorHAnsi" w:cstheme="minorHAnsi"/>
          <w:sz w:val="20"/>
          <w:szCs w:val="21"/>
        </w:rPr>
      </w:pPr>
      <w:r w:rsidRPr="00E233B9">
        <w:rPr>
          <w:rFonts w:asciiTheme="minorHAnsi" w:hAnsiTheme="minorHAnsi" w:cstheme="minorHAnsi"/>
          <w:sz w:val="20"/>
          <w:szCs w:val="21"/>
        </w:rPr>
        <w:t xml:space="preserve">Michael, R. T. (1975). Education and fertility. In: F.T. </w:t>
      </w:r>
      <w:proofErr w:type="spellStart"/>
      <w:r w:rsidRPr="00E233B9">
        <w:rPr>
          <w:rFonts w:asciiTheme="minorHAnsi" w:hAnsiTheme="minorHAnsi" w:cstheme="minorHAnsi"/>
          <w:sz w:val="20"/>
          <w:szCs w:val="21"/>
        </w:rPr>
        <w:t>Juster</w:t>
      </w:r>
      <w:proofErr w:type="spellEnd"/>
      <w:r w:rsidRPr="00E233B9">
        <w:rPr>
          <w:rFonts w:asciiTheme="minorHAnsi" w:hAnsiTheme="minorHAnsi" w:cstheme="minorHAnsi"/>
          <w:sz w:val="20"/>
          <w:szCs w:val="21"/>
        </w:rPr>
        <w:t xml:space="preserve"> (</w:t>
      </w:r>
      <w:proofErr w:type="spellStart"/>
      <w:proofErr w:type="gramStart"/>
      <w:r w:rsidRPr="00E233B9">
        <w:rPr>
          <w:rFonts w:asciiTheme="minorHAnsi" w:hAnsiTheme="minorHAnsi" w:cstheme="minorHAnsi"/>
          <w:sz w:val="20"/>
          <w:szCs w:val="21"/>
        </w:rPr>
        <w:t>ed</w:t>
      </w:r>
      <w:proofErr w:type="spellEnd"/>
      <w:proofErr w:type="gramEnd"/>
      <w:r w:rsidRPr="00E233B9">
        <w:rPr>
          <w:rFonts w:asciiTheme="minorHAnsi" w:hAnsiTheme="minorHAnsi" w:cstheme="minorHAnsi"/>
          <w:sz w:val="20"/>
          <w:szCs w:val="21"/>
        </w:rPr>
        <w:t>) </w:t>
      </w:r>
      <w:r w:rsidRPr="00E233B9">
        <w:rPr>
          <w:rFonts w:asciiTheme="minorHAnsi" w:hAnsiTheme="minorHAnsi" w:cstheme="minorHAnsi"/>
          <w:i/>
          <w:iCs/>
          <w:sz w:val="20"/>
          <w:szCs w:val="21"/>
        </w:rPr>
        <w:t>Education, income, and human behaviour</w:t>
      </w:r>
      <w:r w:rsidRPr="00E233B9">
        <w:rPr>
          <w:rFonts w:asciiTheme="minorHAnsi" w:hAnsiTheme="minorHAnsi" w:cstheme="minorHAnsi"/>
          <w:sz w:val="20"/>
          <w:szCs w:val="21"/>
        </w:rPr>
        <w:t>, NBER, 339-364.</w:t>
      </w:r>
    </w:p>
    <w:p w14:paraId="4E5B28C0" w14:textId="77777777" w:rsidR="000A25BB" w:rsidRDefault="000A25BB" w:rsidP="000A25BB">
      <w:pPr>
        <w:spacing w:line="480" w:lineRule="auto"/>
        <w:jc w:val="both"/>
        <w:rPr>
          <w:rFonts w:asciiTheme="minorHAnsi" w:hAnsiTheme="minorHAnsi" w:cstheme="minorHAnsi"/>
          <w:sz w:val="20"/>
          <w:szCs w:val="21"/>
        </w:rPr>
      </w:pPr>
      <w:proofErr w:type="spellStart"/>
      <w:r w:rsidRPr="00C91095">
        <w:rPr>
          <w:rFonts w:asciiTheme="minorHAnsi" w:hAnsiTheme="minorHAnsi" w:cstheme="minorHAnsi"/>
          <w:sz w:val="20"/>
          <w:szCs w:val="21"/>
        </w:rPr>
        <w:t>Ruggles</w:t>
      </w:r>
      <w:proofErr w:type="spellEnd"/>
      <w:r w:rsidRPr="00C91095">
        <w:rPr>
          <w:rFonts w:asciiTheme="minorHAnsi" w:hAnsiTheme="minorHAnsi" w:cstheme="minorHAnsi"/>
          <w:sz w:val="20"/>
          <w:szCs w:val="21"/>
        </w:rPr>
        <w:t>,</w:t>
      </w:r>
      <w:r>
        <w:rPr>
          <w:rFonts w:asciiTheme="minorHAnsi" w:hAnsiTheme="minorHAnsi" w:cstheme="minorHAnsi"/>
          <w:sz w:val="20"/>
          <w:szCs w:val="21"/>
        </w:rPr>
        <w:t xml:space="preserve"> S., </w:t>
      </w:r>
      <w:proofErr w:type="spellStart"/>
      <w:r w:rsidRPr="00C91095">
        <w:rPr>
          <w:rFonts w:asciiTheme="minorHAnsi" w:hAnsiTheme="minorHAnsi" w:cstheme="minorHAnsi"/>
          <w:sz w:val="20"/>
          <w:szCs w:val="21"/>
        </w:rPr>
        <w:t>Genadek</w:t>
      </w:r>
      <w:proofErr w:type="spellEnd"/>
      <w:r w:rsidRPr="00C91095">
        <w:rPr>
          <w:rFonts w:asciiTheme="minorHAnsi" w:hAnsiTheme="minorHAnsi" w:cstheme="minorHAnsi"/>
          <w:sz w:val="20"/>
          <w:szCs w:val="21"/>
        </w:rPr>
        <w:t>,</w:t>
      </w:r>
      <w:r>
        <w:rPr>
          <w:rFonts w:asciiTheme="minorHAnsi" w:hAnsiTheme="minorHAnsi" w:cstheme="minorHAnsi"/>
          <w:sz w:val="20"/>
          <w:szCs w:val="21"/>
        </w:rPr>
        <w:t xml:space="preserve"> K.,</w:t>
      </w:r>
      <w:r w:rsidRPr="00C91095">
        <w:rPr>
          <w:rFonts w:asciiTheme="minorHAnsi" w:hAnsiTheme="minorHAnsi" w:cstheme="minorHAnsi"/>
          <w:sz w:val="20"/>
          <w:szCs w:val="21"/>
        </w:rPr>
        <w:t xml:space="preserve"> </w:t>
      </w:r>
      <w:proofErr w:type="spellStart"/>
      <w:r w:rsidRPr="00C91095">
        <w:rPr>
          <w:rFonts w:asciiTheme="minorHAnsi" w:hAnsiTheme="minorHAnsi" w:cstheme="minorHAnsi"/>
          <w:sz w:val="20"/>
          <w:szCs w:val="21"/>
        </w:rPr>
        <w:t>Goeken</w:t>
      </w:r>
      <w:proofErr w:type="spellEnd"/>
      <w:r w:rsidRPr="00C91095">
        <w:rPr>
          <w:rFonts w:asciiTheme="minorHAnsi" w:hAnsiTheme="minorHAnsi" w:cstheme="minorHAnsi"/>
          <w:sz w:val="20"/>
          <w:szCs w:val="21"/>
        </w:rPr>
        <w:t xml:space="preserve">, </w:t>
      </w:r>
      <w:r>
        <w:rPr>
          <w:rFonts w:asciiTheme="minorHAnsi" w:hAnsiTheme="minorHAnsi" w:cstheme="minorHAnsi"/>
          <w:sz w:val="20"/>
          <w:szCs w:val="21"/>
        </w:rPr>
        <w:t xml:space="preserve">R., </w:t>
      </w:r>
      <w:r w:rsidRPr="00C91095">
        <w:rPr>
          <w:rFonts w:asciiTheme="minorHAnsi" w:hAnsiTheme="minorHAnsi" w:cstheme="minorHAnsi"/>
          <w:sz w:val="20"/>
          <w:szCs w:val="21"/>
        </w:rPr>
        <w:t>Grover,</w:t>
      </w:r>
      <w:r>
        <w:rPr>
          <w:rFonts w:asciiTheme="minorHAnsi" w:hAnsiTheme="minorHAnsi" w:cstheme="minorHAnsi"/>
          <w:sz w:val="20"/>
          <w:szCs w:val="21"/>
        </w:rPr>
        <w:t xml:space="preserve"> J.</w:t>
      </w:r>
      <w:r w:rsidRPr="00C91095">
        <w:rPr>
          <w:rFonts w:asciiTheme="minorHAnsi" w:hAnsiTheme="minorHAnsi" w:cstheme="minorHAnsi"/>
          <w:sz w:val="20"/>
          <w:szCs w:val="21"/>
        </w:rPr>
        <w:t xml:space="preserve"> and </w:t>
      </w:r>
      <w:proofErr w:type="spellStart"/>
      <w:r w:rsidRPr="00C91095">
        <w:rPr>
          <w:rFonts w:asciiTheme="minorHAnsi" w:hAnsiTheme="minorHAnsi" w:cstheme="minorHAnsi"/>
          <w:sz w:val="20"/>
          <w:szCs w:val="21"/>
        </w:rPr>
        <w:t>Sobek</w:t>
      </w:r>
      <w:proofErr w:type="spellEnd"/>
      <w:r>
        <w:rPr>
          <w:rFonts w:asciiTheme="minorHAnsi" w:hAnsiTheme="minorHAnsi" w:cstheme="minorHAnsi"/>
          <w:sz w:val="20"/>
          <w:szCs w:val="21"/>
        </w:rPr>
        <w:t>, M. (2017)</w:t>
      </w:r>
      <w:r w:rsidRPr="00C91095">
        <w:rPr>
          <w:rFonts w:asciiTheme="minorHAnsi" w:hAnsiTheme="minorHAnsi" w:cstheme="minorHAnsi"/>
          <w:sz w:val="20"/>
          <w:szCs w:val="21"/>
        </w:rPr>
        <w:t xml:space="preserve">. Integrated Public Use Microdata Series: Version 7.0 [dataset]. Minneapolis: University of Minnesota, </w:t>
      </w:r>
      <w:hyperlink r:id="rId15" w:history="1">
        <w:r w:rsidRPr="00C91095">
          <w:rPr>
            <w:rStyle w:val="Hyperlink"/>
            <w:rFonts w:asciiTheme="minorHAnsi" w:hAnsiTheme="minorHAnsi" w:cstheme="minorHAnsi"/>
            <w:sz w:val="20"/>
            <w:szCs w:val="21"/>
          </w:rPr>
          <w:t>https://doi.org/10.18128/D010.V7.0</w:t>
        </w:r>
      </w:hyperlink>
      <w:r w:rsidRPr="00C91095">
        <w:rPr>
          <w:rFonts w:asciiTheme="minorHAnsi" w:hAnsiTheme="minorHAnsi" w:cstheme="minorHAnsi"/>
          <w:sz w:val="20"/>
          <w:szCs w:val="21"/>
        </w:rPr>
        <w:t xml:space="preserve">. </w:t>
      </w:r>
    </w:p>
    <w:p w14:paraId="3783F589" w14:textId="312CDE49" w:rsidR="001A35B7" w:rsidRDefault="001A35B7" w:rsidP="00E233B9">
      <w:pPr>
        <w:spacing w:line="480" w:lineRule="auto"/>
        <w:jc w:val="both"/>
        <w:rPr>
          <w:rFonts w:asciiTheme="minorHAnsi" w:hAnsiTheme="minorHAnsi" w:cstheme="minorHAnsi"/>
          <w:sz w:val="20"/>
          <w:szCs w:val="21"/>
          <w:lang w:val="en-US"/>
        </w:rPr>
      </w:pPr>
      <w:r w:rsidRPr="00E233B9">
        <w:rPr>
          <w:rFonts w:asciiTheme="minorHAnsi" w:hAnsiTheme="minorHAnsi" w:cstheme="minorHAnsi"/>
          <w:sz w:val="20"/>
          <w:szCs w:val="21"/>
          <w:lang w:val="en-US"/>
        </w:rPr>
        <w:t xml:space="preserve">Ryder, N.B. (1965). The Cohort as a Concept in the Study of Social Change. </w:t>
      </w:r>
      <w:r w:rsidRPr="00E233B9">
        <w:rPr>
          <w:rFonts w:asciiTheme="minorHAnsi" w:hAnsiTheme="minorHAnsi" w:cstheme="minorHAnsi"/>
          <w:i/>
          <w:iCs/>
          <w:sz w:val="20"/>
          <w:szCs w:val="21"/>
          <w:lang w:val="en-US"/>
        </w:rPr>
        <w:t>American Sociological Review</w:t>
      </w:r>
      <w:r w:rsidRPr="00E233B9">
        <w:rPr>
          <w:rFonts w:asciiTheme="minorHAnsi" w:hAnsiTheme="minorHAnsi" w:cstheme="minorHAnsi"/>
          <w:sz w:val="20"/>
          <w:szCs w:val="21"/>
          <w:lang w:val="en-US"/>
        </w:rPr>
        <w:t xml:space="preserve">, 30: 843-861. </w:t>
      </w:r>
    </w:p>
    <w:p w14:paraId="727F833F" w14:textId="6EA1BC97" w:rsidR="005868CA" w:rsidRDefault="005868CA" w:rsidP="00E233B9">
      <w:pPr>
        <w:spacing w:line="480" w:lineRule="auto"/>
        <w:jc w:val="both"/>
        <w:rPr>
          <w:rFonts w:asciiTheme="minorHAnsi" w:hAnsiTheme="minorHAnsi" w:cstheme="minorHAnsi"/>
          <w:sz w:val="20"/>
          <w:szCs w:val="21"/>
          <w:lang w:val="en-US"/>
        </w:rPr>
      </w:pPr>
      <w:r w:rsidRPr="00E233B9">
        <w:rPr>
          <w:rFonts w:asciiTheme="minorHAnsi" w:hAnsiTheme="minorHAnsi" w:cstheme="minorHAnsi"/>
          <w:sz w:val="20"/>
          <w:szCs w:val="21"/>
          <w:lang w:val="en-US"/>
        </w:rPr>
        <w:t>Shang, Q</w:t>
      </w:r>
      <w:r w:rsidR="00A275A9" w:rsidRPr="00E233B9">
        <w:rPr>
          <w:rFonts w:asciiTheme="minorHAnsi" w:hAnsiTheme="minorHAnsi" w:cstheme="minorHAnsi"/>
          <w:sz w:val="20"/>
          <w:szCs w:val="21"/>
          <w:lang w:val="en-US"/>
        </w:rPr>
        <w:t>.</w:t>
      </w:r>
      <w:r w:rsidRPr="00E233B9">
        <w:rPr>
          <w:rFonts w:asciiTheme="minorHAnsi" w:hAnsiTheme="minorHAnsi" w:cstheme="minorHAnsi"/>
          <w:sz w:val="20"/>
          <w:szCs w:val="21"/>
          <w:lang w:val="en-US"/>
        </w:rPr>
        <w:t xml:space="preserve"> </w:t>
      </w:r>
      <w:r w:rsidR="00A275A9" w:rsidRPr="00E233B9">
        <w:rPr>
          <w:rFonts w:asciiTheme="minorHAnsi" w:hAnsiTheme="minorHAnsi" w:cstheme="minorHAnsi"/>
          <w:sz w:val="20"/>
          <w:szCs w:val="21"/>
          <w:lang w:val="en-US"/>
        </w:rPr>
        <w:t>&amp;</w:t>
      </w:r>
      <w:r w:rsidRPr="00E233B9">
        <w:rPr>
          <w:rFonts w:asciiTheme="minorHAnsi" w:hAnsiTheme="minorHAnsi" w:cstheme="minorHAnsi"/>
          <w:sz w:val="20"/>
          <w:szCs w:val="21"/>
          <w:lang w:val="en-US"/>
        </w:rPr>
        <w:t xml:space="preserve"> Weinberg BA. (2013). </w:t>
      </w:r>
      <w:proofErr w:type="gramStart"/>
      <w:r w:rsidRPr="00E233B9">
        <w:rPr>
          <w:rFonts w:asciiTheme="minorHAnsi" w:hAnsiTheme="minorHAnsi" w:cstheme="minorHAnsi"/>
          <w:sz w:val="20"/>
          <w:szCs w:val="21"/>
          <w:lang w:val="en-US"/>
        </w:rPr>
        <w:t>Opting</w:t>
      </w:r>
      <w:proofErr w:type="gramEnd"/>
      <w:r w:rsidRPr="00E233B9">
        <w:rPr>
          <w:rFonts w:asciiTheme="minorHAnsi" w:hAnsiTheme="minorHAnsi" w:cstheme="minorHAnsi"/>
          <w:sz w:val="20"/>
          <w:szCs w:val="21"/>
          <w:lang w:val="en-US"/>
        </w:rPr>
        <w:t xml:space="preserve"> for families: recent trends in the fertility of highly educated women. </w:t>
      </w:r>
      <w:r w:rsidRPr="00E233B9">
        <w:rPr>
          <w:rFonts w:asciiTheme="minorHAnsi" w:hAnsiTheme="minorHAnsi" w:cstheme="minorHAnsi"/>
          <w:i/>
          <w:iCs/>
          <w:sz w:val="20"/>
          <w:szCs w:val="21"/>
          <w:lang w:val="en-US"/>
        </w:rPr>
        <w:t>Journal of Population Economics</w:t>
      </w:r>
      <w:r w:rsidRPr="00E233B9">
        <w:rPr>
          <w:rFonts w:asciiTheme="minorHAnsi" w:hAnsiTheme="minorHAnsi" w:cstheme="minorHAnsi"/>
          <w:sz w:val="20"/>
          <w:szCs w:val="21"/>
          <w:lang w:val="en-US"/>
        </w:rPr>
        <w:t xml:space="preserve"> 26: 5-32.</w:t>
      </w:r>
    </w:p>
    <w:p w14:paraId="1F7BA2EB" w14:textId="77777777" w:rsidR="000016C6" w:rsidRPr="000016C6" w:rsidRDefault="000016C6" w:rsidP="00E233B9">
      <w:pPr>
        <w:spacing w:line="480" w:lineRule="auto"/>
        <w:jc w:val="both"/>
        <w:rPr>
          <w:rFonts w:asciiTheme="minorHAnsi" w:hAnsiTheme="minorHAnsi" w:cstheme="minorHAnsi"/>
          <w:sz w:val="20"/>
          <w:lang w:val="en-US"/>
        </w:rPr>
      </w:pPr>
      <w:r w:rsidRPr="00FA5342">
        <w:rPr>
          <w:rFonts w:asciiTheme="minorHAnsi" w:hAnsiTheme="minorHAnsi" w:cstheme="minorHAnsi"/>
          <w:sz w:val="20"/>
          <w:lang w:val="en-US"/>
        </w:rPr>
        <w:t>Smith, H. L. (2008). Advances in age–period–cohort analysis. </w:t>
      </w:r>
      <w:r w:rsidRPr="00FA5342">
        <w:rPr>
          <w:rFonts w:asciiTheme="minorHAnsi" w:hAnsiTheme="minorHAnsi" w:cstheme="minorHAnsi"/>
          <w:i/>
          <w:iCs/>
          <w:sz w:val="20"/>
          <w:lang w:val="en-US"/>
        </w:rPr>
        <w:t>Sociological Methods &amp; Research</w:t>
      </w:r>
      <w:r w:rsidRPr="00FA5342">
        <w:rPr>
          <w:rFonts w:asciiTheme="minorHAnsi" w:hAnsiTheme="minorHAnsi" w:cstheme="minorHAnsi"/>
          <w:sz w:val="20"/>
          <w:lang w:val="en-US"/>
        </w:rPr>
        <w:t>, </w:t>
      </w:r>
      <w:r w:rsidRPr="00FA5342">
        <w:rPr>
          <w:rFonts w:asciiTheme="minorHAnsi" w:hAnsiTheme="minorHAnsi" w:cstheme="minorHAnsi"/>
          <w:i/>
          <w:iCs/>
          <w:sz w:val="20"/>
          <w:lang w:val="en-US"/>
        </w:rPr>
        <w:t>36</w:t>
      </w:r>
      <w:r w:rsidRPr="00FA5342">
        <w:rPr>
          <w:rFonts w:asciiTheme="minorHAnsi" w:hAnsiTheme="minorHAnsi" w:cstheme="minorHAnsi"/>
          <w:sz w:val="20"/>
          <w:lang w:val="en-US"/>
        </w:rPr>
        <w:t>(3), 287-296.</w:t>
      </w:r>
    </w:p>
    <w:p w14:paraId="77CFD326" w14:textId="4D72B94F" w:rsidR="002152D3" w:rsidRPr="00E233B9" w:rsidRDefault="002152D3" w:rsidP="00E233B9">
      <w:pPr>
        <w:spacing w:line="480" w:lineRule="auto"/>
        <w:jc w:val="both"/>
        <w:rPr>
          <w:rFonts w:asciiTheme="minorHAnsi" w:hAnsiTheme="minorHAnsi" w:cstheme="minorHAnsi"/>
          <w:sz w:val="20"/>
          <w:szCs w:val="21"/>
          <w:lang w:val="en-US"/>
        </w:rPr>
      </w:pPr>
      <w:r w:rsidRPr="00E233B9">
        <w:rPr>
          <w:rFonts w:asciiTheme="minorHAnsi" w:hAnsiTheme="minorHAnsi" w:cstheme="minorHAnsi"/>
          <w:sz w:val="20"/>
          <w:szCs w:val="21"/>
          <w:lang w:val="en-US"/>
        </w:rPr>
        <w:t>Tavares, L. (2010). Who Delays Childbearing? The Relationships between F</w:t>
      </w:r>
      <w:r w:rsidR="00AE0EF0" w:rsidRPr="00E233B9">
        <w:rPr>
          <w:rFonts w:asciiTheme="minorHAnsi" w:hAnsiTheme="minorHAnsi" w:cstheme="minorHAnsi"/>
          <w:sz w:val="20"/>
          <w:szCs w:val="21"/>
          <w:lang w:val="en-US"/>
        </w:rPr>
        <w:t>ertility, Education and Person</w:t>
      </w:r>
      <w:r w:rsidRPr="00E233B9">
        <w:rPr>
          <w:rFonts w:asciiTheme="minorHAnsi" w:hAnsiTheme="minorHAnsi" w:cstheme="minorHAnsi"/>
          <w:sz w:val="20"/>
          <w:szCs w:val="21"/>
          <w:lang w:val="en-US"/>
        </w:rPr>
        <w:t xml:space="preserve">ality Traits. </w:t>
      </w:r>
      <w:proofErr w:type="spellStart"/>
      <w:r w:rsidRPr="00E233B9">
        <w:rPr>
          <w:rFonts w:asciiTheme="minorHAnsi" w:hAnsiTheme="minorHAnsi" w:cstheme="minorHAnsi"/>
          <w:sz w:val="20"/>
          <w:szCs w:val="21"/>
          <w:lang w:val="en-US"/>
        </w:rPr>
        <w:t>Dondena</w:t>
      </w:r>
      <w:proofErr w:type="spellEnd"/>
      <w:r w:rsidRPr="00E233B9">
        <w:rPr>
          <w:rFonts w:asciiTheme="minorHAnsi" w:hAnsiTheme="minorHAnsi" w:cstheme="minorHAnsi"/>
          <w:sz w:val="20"/>
          <w:szCs w:val="21"/>
          <w:lang w:val="en-US"/>
        </w:rPr>
        <w:t xml:space="preserve"> Working Paper 9. Milan: </w:t>
      </w:r>
      <w:proofErr w:type="spellStart"/>
      <w:r w:rsidRPr="00E233B9">
        <w:rPr>
          <w:rFonts w:asciiTheme="minorHAnsi" w:hAnsiTheme="minorHAnsi" w:cstheme="minorHAnsi"/>
          <w:sz w:val="20"/>
          <w:szCs w:val="21"/>
          <w:lang w:val="en-US"/>
        </w:rPr>
        <w:t>Dondena</w:t>
      </w:r>
      <w:proofErr w:type="spellEnd"/>
      <w:r w:rsidRPr="00E233B9">
        <w:rPr>
          <w:rFonts w:asciiTheme="minorHAnsi" w:hAnsiTheme="minorHAnsi" w:cstheme="minorHAnsi"/>
          <w:sz w:val="20"/>
          <w:szCs w:val="21"/>
          <w:lang w:val="en-US"/>
        </w:rPr>
        <w:t xml:space="preserve"> Center for Research on Social Dynamics. </w:t>
      </w:r>
    </w:p>
    <w:p w14:paraId="54E2435B" w14:textId="77777777" w:rsidR="00675135" w:rsidRPr="00E233B9" w:rsidRDefault="001D7D94" w:rsidP="00E233B9">
      <w:pPr>
        <w:spacing w:line="480" w:lineRule="auto"/>
        <w:jc w:val="both"/>
        <w:rPr>
          <w:rFonts w:asciiTheme="minorHAnsi" w:hAnsiTheme="minorHAnsi" w:cstheme="minorHAnsi"/>
          <w:sz w:val="20"/>
          <w:szCs w:val="21"/>
          <w:lang w:val="en-US"/>
        </w:rPr>
      </w:pPr>
      <w:r w:rsidRPr="00E233B9">
        <w:rPr>
          <w:rFonts w:asciiTheme="minorHAnsi" w:hAnsiTheme="minorHAnsi" w:cstheme="minorHAnsi"/>
          <w:sz w:val="20"/>
          <w:szCs w:val="21"/>
          <w:lang w:val="en-US"/>
        </w:rPr>
        <w:t>UN</w:t>
      </w:r>
      <w:r w:rsidR="00675135" w:rsidRPr="00E233B9">
        <w:rPr>
          <w:rFonts w:asciiTheme="minorHAnsi" w:hAnsiTheme="minorHAnsi" w:cstheme="minorHAnsi"/>
          <w:sz w:val="20"/>
          <w:szCs w:val="21"/>
          <w:lang w:val="en-US"/>
        </w:rPr>
        <w:t xml:space="preserve"> (United Nations) (2009). </w:t>
      </w:r>
      <w:r w:rsidR="00675135" w:rsidRPr="00E233B9">
        <w:rPr>
          <w:rFonts w:asciiTheme="minorHAnsi" w:hAnsiTheme="minorHAnsi" w:cstheme="minorHAnsi"/>
          <w:i/>
          <w:sz w:val="20"/>
          <w:szCs w:val="21"/>
          <w:lang w:val="en-US"/>
        </w:rPr>
        <w:t xml:space="preserve">Child Adoption: Trends and Policies. </w:t>
      </w:r>
      <w:r w:rsidR="00675135" w:rsidRPr="00E233B9">
        <w:rPr>
          <w:rFonts w:asciiTheme="minorHAnsi" w:hAnsiTheme="minorHAnsi" w:cstheme="minorHAnsi"/>
          <w:sz w:val="20"/>
          <w:szCs w:val="21"/>
          <w:lang w:val="en-US"/>
        </w:rPr>
        <w:t>Department of Economic and Social Affairs, Population Division.</w:t>
      </w:r>
    </w:p>
    <w:p w14:paraId="2863E48B" w14:textId="77777777" w:rsidR="001D7D94" w:rsidRPr="00E233B9" w:rsidRDefault="001D7D94" w:rsidP="00E233B9">
      <w:pPr>
        <w:spacing w:line="480" w:lineRule="auto"/>
        <w:jc w:val="both"/>
        <w:rPr>
          <w:rFonts w:asciiTheme="minorHAnsi" w:hAnsiTheme="minorHAnsi" w:cstheme="minorHAnsi"/>
          <w:sz w:val="20"/>
          <w:szCs w:val="21"/>
          <w:lang w:val="en-US"/>
        </w:rPr>
      </w:pPr>
      <w:proofErr w:type="spellStart"/>
      <w:r w:rsidRPr="00E233B9">
        <w:rPr>
          <w:rFonts w:asciiTheme="minorHAnsi" w:hAnsiTheme="minorHAnsi" w:cstheme="minorHAnsi"/>
          <w:sz w:val="20"/>
          <w:szCs w:val="21"/>
          <w:lang w:val="en-US"/>
        </w:rPr>
        <w:t>Väisänen</w:t>
      </w:r>
      <w:proofErr w:type="spellEnd"/>
      <w:r w:rsidRPr="00E233B9">
        <w:rPr>
          <w:rFonts w:asciiTheme="minorHAnsi" w:hAnsiTheme="minorHAnsi" w:cstheme="minorHAnsi"/>
          <w:sz w:val="20"/>
          <w:szCs w:val="21"/>
          <w:lang w:val="en-US"/>
        </w:rPr>
        <w:t xml:space="preserve">, H. The association between education and induced abortion for three cohorts of adults in Finland. </w:t>
      </w:r>
      <w:r w:rsidRPr="00E233B9">
        <w:rPr>
          <w:rFonts w:asciiTheme="minorHAnsi" w:hAnsiTheme="minorHAnsi" w:cstheme="minorHAnsi"/>
          <w:i/>
          <w:iCs/>
          <w:sz w:val="20"/>
          <w:szCs w:val="21"/>
          <w:lang w:val="en-US"/>
        </w:rPr>
        <w:t>Population Studies</w:t>
      </w:r>
      <w:r w:rsidRPr="00E233B9">
        <w:rPr>
          <w:rFonts w:asciiTheme="minorHAnsi" w:hAnsiTheme="minorHAnsi" w:cstheme="minorHAnsi"/>
          <w:sz w:val="20"/>
          <w:szCs w:val="21"/>
          <w:lang w:val="en-US"/>
        </w:rPr>
        <w:t>. 2015</w:t>
      </w:r>
      <w:proofErr w:type="gramStart"/>
      <w:r w:rsidRPr="00E233B9">
        <w:rPr>
          <w:rFonts w:asciiTheme="minorHAnsi" w:hAnsiTheme="minorHAnsi" w:cstheme="minorHAnsi"/>
          <w:sz w:val="20"/>
          <w:szCs w:val="21"/>
          <w:lang w:val="en-US"/>
        </w:rPr>
        <w:t>;69</w:t>
      </w:r>
      <w:proofErr w:type="gramEnd"/>
      <w:r w:rsidRPr="00E233B9">
        <w:rPr>
          <w:rFonts w:asciiTheme="minorHAnsi" w:hAnsiTheme="minorHAnsi" w:cstheme="minorHAnsi"/>
          <w:sz w:val="20"/>
          <w:szCs w:val="21"/>
          <w:lang w:val="en-US"/>
        </w:rPr>
        <w:t>(3):373-388. doi:10.1080/00324728.2015.1083608.</w:t>
      </w:r>
    </w:p>
    <w:p w14:paraId="2216FBE2" w14:textId="4E29B112" w:rsidR="00442B92" w:rsidRPr="00E233B9" w:rsidRDefault="00442B92" w:rsidP="00E233B9">
      <w:pPr>
        <w:spacing w:line="480" w:lineRule="auto"/>
        <w:jc w:val="both"/>
        <w:rPr>
          <w:rFonts w:asciiTheme="minorHAnsi" w:hAnsiTheme="minorHAnsi" w:cstheme="minorHAnsi"/>
          <w:sz w:val="20"/>
          <w:szCs w:val="21"/>
          <w:lang w:val="en-US"/>
        </w:rPr>
      </w:pPr>
      <w:proofErr w:type="spellStart"/>
      <w:r w:rsidRPr="00E233B9">
        <w:rPr>
          <w:rFonts w:asciiTheme="minorHAnsi" w:hAnsiTheme="minorHAnsi" w:cstheme="minorHAnsi"/>
          <w:sz w:val="20"/>
          <w:szCs w:val="21"/>
          <w:lang w:val="en-US"/>
        </w:rPr>
        <w:lastRenderedPageBreak/>
        <w:t>Whelpton</w:t>
      </w:r>
      <w:proofErr w:type="spellEnd"/>
      <w:r w:rsidR="00A275A9" w:rsidRPr="00E233B9">
        <w:rPr>
          <w:rFonts w:asciiTheme="minorHAnsi" w:hAnsiTheme="minorHAnsi" w:cstheme="minorHAnsi"/>
          <w:sz w:val="20"/>
          <w:szCs w:val="21"/>
          <w:lang w:val="en-US"/>
        </w:rPr>
        <w:t>,</w:t>
      </w:r>
      <w:r w:rsidRPr="00E233B9">
        <w:rPr>
          <w:rFonts w:asciiTheme="minorHAnsi" w:hAnsiTheme="minorHAnsi" w:cstheme="minorHAnsi"/>
          <w:sz w:val="20"/>
          <w:szCs w:val="21"/>
          <w:lang w:val="en-US"/>
        </w:rPr>
        <w:t xml:space="preserve"> P.K. (1949). Cohort Analysis of Fertility. </w:t>
      </w:r>
      <w:r w:rsidRPr="00E233B9">
        <w:rPr>
          <w:rFonts w:asciiTheme="minorHAnsi" w:hAnsiTheme="minorHAnsi" w:cstheme="minorHAnsi"/>
          <w:i/>
          <w:iCs/>
          <w:sz w:val="20"/>
          <w:szCs w:val="21"/>
          <w:lang w:val="en-US"/>
        </w:rPr>
        <w:t>American Sociological Review</w:t>
      </w:r>
      <w:r w:rsidRPr="00E233B9">
        <w:rPr>
          <w:rFonts w:asciiTheme="minorHAnsi" w:hAnsiTheme="minorHAnsi" w:cstheme="minorHAnsi"/>
          <w:sz w:val="20"/>
          <w:szCs w:val="21"/>
          <w:lang w:val="en-US"/>
        </w:rPr>
        <w:t xml:space="preserve">, 14: 735-749. </w:t>
      </w:r>
    </w:p>
    <w:p w14:paraId="037E322D" w14:textId="77777777" w:rsidR="002152D3" w:rsidRPr="00E233B9" w:rsidRDefault="002152D3" w:rsidP="00E233B9">
      <w:pPr>
        <w:spacing w:line="480" w:lineRule="auto"/>
        <w:jc w:val="both"/>
        <w:rPr>
          <w:rFonts w:asciiTheme="minorHAnsi" w:hAnsiTheme="minorHAnsi" w:cstheme="minorHAnsi"/>
          <w:sz w:val="20"/>
          <w:szCs w:val="21"/>
          <w:lang w:val="en-US"/>
        </w:rPr>
      </w:pPr>
      <w:proofErr w:type="spellStart"/>
      <w:r w:rsidRPr="00E233B9">
        <w:rPr>
          <w:rFonts w:asciiTheme="minorHAnsi" w:hAnsiTheme="minorHAnsi" w:cstheme="minorHAnsi"/>
          <w:sz w:val="20"/>
          <w:szCs w:val="21"/>
          <w:lang w:val="en-US"/>
        </w:rPr>
        <w:t>Whelpton</w:t>
      </w:r>
      <w:proofErr w:type="spellEnd"/>
      <w:r w:rsidRPr="00E233B9">
        <w:rPr>
          <w:rFonts w:asciiTheme="minorHAnsi" w:hAnsiTheme="minorHAnsi" w:cstheme="minorHAnsi"/>
          <w:sz w:val="20"/>
          <w:szCs w:val="21"/>
          <w:lang w:val="en-US"/>
        </w:rPr>
        <w:t xml:space="preserve">, P.K. (1954). </w:t>
      </w:r>
      <w:r w:rsidRPr="00E233B9">
        <w:rPr>
          <w:rFonts w:asciiTheme="minorHAnsi" w:hAnsiTheme="minorHAnsi" w:cstheme="minorHAnsi"/>
          <w:i/>
          <w:iCs/>
          <w:sz w:val="20"/>
          <w:szCs w:val="21"/>
          <w:lang w:val="en-US"/>
        </w:rPr>
        <w:t xml:space="preserve">Cohort Fertility. Native White Women in </w:t>
      </w:r>
      <w:proofErr w:type="gramStart"/>
      <w:r w:rsidRPr="00E233B9">
        <w:rPr>
          <w:rFonts w:asciiTheme="minorHAnsi" w:hAnsiTheme="minorHAnsi" w:cstheme="minorHAnsi"/>
          <w:i/>
          <w:iCs/>
          <w:sz w:val="20"/>
          <w:szCs w:val="21"/>
          <w:lang w:val="en-US"/>
        </w:rPr>
        <w:t>The</w:t>
      </w:r>
      <w:proofErr w:type="gramEnd"/>
      <w:r w:rsidRPr="00E233B9">
        <w:rPr>
          <w:rFonts w:asciiTheme="minorHAnsi" w:hAnsiTheme="minorHAnsi" w:cstheme="minorHAnsi"/>
          <w:i/>
          <w:iCs/>
          <w:sz w:val="20"/>
          <w:szCs w:val="21"/>
          <w:lang w:val="en-US"/>
        </w:rPr>
        <w:t xml:space="preserve"> US</w:t>
      </w:r>
      <w:r w:rsidRPr="00E233B9">
        <w:rPr>
          <w:rFonts w:asciiTheme="minorHAnsi" w:hAnsiTheme="minorHAnsi" w:cstheme="minorHAnsi"/>
          <w:sz w:val="20"/>
          <w:szCs w:val="21"/>
          <w:lang w:val="en-US"/>
        </w:rPr>
        <w:t xml:space="preserve">, Princeton, Princeton University Press. </w:t>
      </w:r>
    </w:p>
    <w:sectPr w:rsidR="002152D3" w:rsidRPr="00E233B9" w:rsidSect="00A25F35">
      <w:footerReference w:type="defaul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2053F" w14:textId="77777777" w:rsidR="006428B7" w:rsidRDefault="006428B7" w:rsidP="00A25F35">
      <w:pPr>
        <w:spacing w:after="0" w:line="240" w:lineRule="auto"/>
      </w:pPr>
      <w:r>
        <w:separator/>
      </w:r>
    </w:p>
  </w:endnote>
  <w:endnote w:type="continuationSeparator" w:id="0">
    <w:p w14:paraId="35DA8C9A" w14:textId="77777777" w:rsidR="006428B7" w:rsidRDefault="006428B7" w:rsidP="00A25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689223"/>
      <w:docPartObj>
        <w:docPartGallery w:val="Page Numbers (Bottom of Page)"/>
        <w:docPartUnique/>
      </w:docPartObj>
    </w:sdtPr>
    <w:sdtEndPr>
      <w:rPr>
        <w:noProof/>
      </w:rPr>
    </w:sdtEndPr>
    <w:sdtContent>
      <w:p w14:paraId="3C1C6093" w14:textId="7F19A410" w:rsidR="00205EE4" w:rsidRDefault="00205EE4">
        <w:pPr>
          <w:pStyle w:val="Footer"/>
          <w:jc w:val="right"/>
        </w:pPr>
        <w:r w:rsidRPr="00A25F35">
          <w:rPr>
            <w:rFonts w:ascii="Arial" w:hAnsi="Arial" w:cs="Arial"/>
          </w:rPr>
          <w:fldChar w:fldCharType="begin"/>
        </w:r>
        <w:r w:rsidRPr="00A25F35">
          <w:rPr>
            <w:rFonts w:ascii="Arial" w:hAnsi="Arial" w:cs="Arial"/>
          </w:rPr>
          <w:instrText xml:space="preserve"> PAGE   \* MERGEFORMAT </w:instrText>
        </w:r>
        <w:r w:rsidRPr="00A25F35">
          <w:rPr>
            <w:rFonts w:ascii="Arial" w:hAnsi="Arial" w:cs="Arial"/>
          </w:rPr>
          <w:fldChar w:fldCharType="separate"/>
        </w:r>
        <w:r w:rsidR="00EF4D07">
          <w:rPr>
            <w:rFonts w:ascii="Arial" w:hAnsi="Arial" w:cs="Arial"/>
            <w:noProof/>
          </w:rPr>
          <w:t>10</w:t>
        </w:r>
        <w:r w:rsidRPr="00A25F35">
          <w:rPr>
            <w:rFonts w:ascii="Arial" w:hAnsi="Arial" w:cs="Arial"/>
            <w:noProof/>
          </w:rPr>
          <w:fldChar w:fldCharType="end"/>
        </w:r>
      </w:p>
    </w:sdtContent>
  </w:sdt>
  <w:p w14:paraId="000F45BA" w14:textId="77777777" w:rsidR="00205EE4" w:rsidRDefault="00205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636BE" w14:textId="77777777" w:rsidR="006428B7" w:rsidRDefault="006428B7" w:rsidP="00A25F35">
      <w:pPr>
        <w:spacing w:after="0" w:line="240" w:lineRule="auto"/>
      </w:pPr>
      <w:r>
        <w:separator/>
      </w:r>
    </w:p>
  </w:footnote>
  <w:footnote w:type="continuationSeparator" w:id="0">
    <w:p w14:paraId="1B2F9613" w14:textId="77777777" w:rsidR="006428B7" w:rsidRDefault="006428B7" w:rsidP="00A25F35">
      <w:pPr>
        <w:spacing w:after="0" w:line="240" w:lineRule="auto"/>
      </w:pPr>
      <w:r>
        <w:continuationSeparator/>
      </w:r>
    </w:p>
  </w:footnote>
  <w:footnote w:id="1">
    <w:p w14:paraId="4A109BF7" w14:textId="5AD63AD1" w:rsidR="0014654E" w:rsidRPr="00DA68DF" w:rsidRDefault="0014654E" w:rsidP="00083F47">
      <w:pPr>
        <w:pStyle w:val="FootnoteText"/>
        <w:spacing w:line="480" w:lineRule="auto"/>
        <w:jc w:val="both"/>
        <w:rPr>
          <w:rFonts w:ascii="Calibri" w:hAnsi="Calibri"/>
          <w:lang w:val="en-US"/>
        </w:rPr>
      </w:pPr>
      <w:r w:rsidRPr="00DA68DF">
        <w:rPr>
          <w:rStyle w:val="FootnoteReference"/>
          <w:rFonts w:ascii="Calibri" w:hAnsi="Calibri"/>
        </w:rPr>
        <w:footnoteRef/>
      </w:r>
      <w:r w:rsidRPr="00DA68DF">
        <w:rPr>
          <w:rFonts w:ascii="Calibri" w:hAnsi="Calibri"/>
        </w:rPr>
        <w:t xml:space="preserve"> </w:t>
      </w:r>
      <w:r w:rsidRPr="00DA68DF">
        <w:rPr>
          <w:rFonts w:ascii="Calibri" w:hAnsi="Calibri" w:cstheme="minorHAnsi"/>
          <w:lang w:val="en-US"/>
        </w:rPr>
        <w:t>Some scholars have made attempts to integrate these two approaches (</w:t>
      </w:r>
      <w:proofErr w:type="spellStart"/>
      <w:r w:rsidRPr="00DA68DF">
        <w:rPr>
          <w:rFonts w:ascii="Calibri" w:hAnsi="Calibri" w:cstheme="minorHAnsi"/>
          <w:lang w:val="en-US"/>
        </w:rPr>
        <w:t>Kravdal</w:t>
      </w:r>
      <w:proofErr w:type="spellEnd"/>
      <w:r w:rsidRPr="00DA68DF">
        <w:rPr>
          <w:rFonts w:ascii="Calibri" w:hAnsi="Calibri" w:cstheme="minorHAnsi"/>
          <w:lang w:val="en-US"/>
        </w:rPr>
        <w:t xml:space="preserve"> &amp; </w:t>
      </w:r>
      <w:proofErr w:type="spellStart"/>
      <w:r w:rsidRPr="00DA68DF">
        <w:rPr>
          <w:rFonts w:ascii="Calibri" w:hAnsi="Calibri" w:cstheme="minorHAnsi"/>
          <w:lang w:val="en-US"/>
        </w:rPr>
        <w:t>Rindfuss</w:t>
      </w:r>
      <w:proofErr w:type="spellEnd"/>
      <w:r w:rsidRPr="00DA68DF">
        <w:rPr>
          <w:rFonts w:ascii="Calibri" w:hAnsi="Calibri" w:cstheme="minorHAnsi"/>
          <w:lang w:val="en-US"/>
        </w:rPr>
        <w:t>, 2008).</w:t>
      </w:r>
    </w:p>
  </w:footnote>
  <w:footnote w:id="2">
    <w:p w14:paraId="030053A1" w14:textId="71D7AC92" w:rsidR="007632CB" w:rsidRPr="007632CB" w:rsidRDefault="007632CB" w:rsidP="00083F47">
      <w:pPr>
        <w:pStyle w:val="FootnoteText"/>
        <w:spacing w:line="480" w:lineRule="auto"/>
        <w:jc w:val="both"/>
      </w:pPr>
      <w:r>
        <w:rPr>
          <w:rStyle w:val="FootnoteReference"/>
        </w:rPr>
        <w:footnoteRef/>
      </w:r>
      <w:r>
        <w:t xml:space="preserve"> </w:t>
      </w:r>
      <w:r>
        <w:rPr>
          <w:rFonts w:asciiTheme="minorHAnsi" w:hAnsiTheme="minorHAnsi" w:cstheme="minorHAnsi"/>
          <w:lang w:val="en-US"/>
        </w:rPr>
        <w:t>As a robustness check, we repeated the analysis using the number of household members under age 17 and retrieved similar results.</w:t>
      </w:r>
    </w:p>
  </w:footnote>
  <w:footnote w:id="3">
    <w:p w14:paraId="543FD00E" w14:textId="77777777" w:rsidR="0049658B" w:rsidRPr="00DA68DF" w:rsidRDefault="0049658B" w:rsidP="0049658B">
      <w:pPr>
        <w:pStyle w:val="FootnoteText"/>
        <w:spacing w:line="480" w:lineRule="auto"/>
        <w:jc w:val="both"/>
        <w:rPr>
          <w:rFonts w:ascii="Calibri" w:hAnsi="Calibri" w:cstheme="minorHAnsi"/>
          <w:lang w:val="en-US"/>
        </w:rPr>
      </w:pPr>
      <w:r w:rsidRPr="00DA68DF">
        <w:rPr>
          <w:rStyle w:val="FootnoteReference"/>
          <w:rFonts w:ascii="Calibri" w:hAnsi="Calibri" w:cstheme="minorHAnsi"/>
        </w:rPr>
        <w:footnoteRef/>
      </w:r>
      <w:r w:rsidRPr="00DA68DF">
        <w:rPr>
          <w:rFonts w:ascii="Calibri" w:hAnsi="Calibri" w:cstheme="minorHAnsi"/>
        </w:rPr>
        <w:t xml:space="preserve"> </w:t>
      </w:r>
      <w:r w:rsidRPr="00DA68DF">
        <w:rPr>
          <w:rFonts w:ascii="Calibri" w:hAnsi="Calibri" w:cstheme="minorHAnsi"/>
          <w:lang w:val="en-US"/>
        </w:rPr>
        <w:t xml:space="preserve">Our results are robust to different samples, i.e. the exclusion of non-White population and different age selections. </w:t>
      </w:r>
    </w:p>
  </w:footnote>
  <w:footnote w:id="4">
    <w:p w14:paraId="7B916B63" w14:textId="7674576D" w:rsidR="00F0259F" w:rsidRPr="00DA68DF" w:rsidRDefault="00F0259F" w:rsidP="00083F47">
      <w:pPr>
        <w:pStyle w:val="FootnoteText"/>
        <w:spacing w:line="480" w:lineRule="auto"/>
        <w:jc w:val="both"/>
        <w:rPr>
          <w:rFonts w:ascii="Calibri" w:hAnsi="Calibri" w:cstheme="minorHAnsi"/>
          <w:lang w:val="en-US"/>
        </w:rPr>
      </w:pPr>
      <w:r w:rsidRPr="00DA68DF">
        <w:rPr>
          <w:rStyle w:val="FootnoteReference"/>
          <w:rFonts w:ascii="Calibri" w:hAnsi="Calibri" w:cstheme="minorHAnsi"/>
        </w:rPr>
        <w:footnoteRef/>
      </w:r>
      <w:r w:rsidRPr="00DA68DF">
        <w:rPr>
          <w:rFonts w:ascii="Calibri" w:hAnsi="Calibri" w:cstheme="minorHAnsi"/>
        </w:rPr>
        <w:t xml:space="preserve"> </w:t>
      </w:r>
      <w:r w:rsidRPr="00DA68DF">
        <w:rPr>
          <w:rFonts w:ascii="Calibri" w:hAnsi="Calibri" w:cstheme="minorHAnsi"/>
          <w:lang w:val="en-US"/>
        </w:rPr>
        <w:t>This may be explained (partly) by selection into education (</w:t>
      </w:r>
      <w:proofErr w:type="spellStart"/>
      <w:r w:rsidRPr="00DA68DF">
        <w:rPr>
          <w:rFonts w:ascii="Calibri" w:hAnsi="Calibri" w:cstheme="minorHAnsi"/>
          <w:lang w:val="en-US"/>
        </w:rPr>
        <w:t>Väisänen</w:t>
      </w:r>
      <w:proofErr w:type="spellEnd"/>
      <w:r w:rsidRPr="00DA68DF">
        <w:rPr>
          <w:rFonts w:ascii="Calibri" w:hAnsi="Calibri" w:cstheme="minorHAnsi"/>
          <w:lang w:val="en-US"/>
        </w:rPr>
        <w:t xml:space="preserv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0E2"/>
    <w:multiLevelType w:val="hybridMultilevel"/>
    <w:tmpl w:val="06F6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46EDE"/>
    <w:multiLevelType w:val="hybridMultilevel"/>
    <w:tmpl w:val="CF9E8C04"/>
    <w:lvl w:ilvl="0" w:tplc="34CCCF7E">
      <w:start w:val="18"/>
      <w:numFmt w:val="bullet"/>
      <w:lvlText w:val=""/>
      <w:lvlJc w:val="left"/>
      <w:pPr>
        <w:ind w:left="720" w:hanging="360"/>
      </w:pPr>
      <w:rPr>
        <w:rFonts w:ascii="Symbol" w:eastAsiaTheme="minorHAns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94427"/>
    <w:multiLevelType w:val="hybridMultilevel"/>
    <w:tmpl w:val="A56CD1B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8B5400"/>
    <w:multiLevelType w:val="hybridMultilevel"/>
    <w:tmpl w:val="9F62FB12"/>
    <w:lvl w:ilvl="0" w:tplc="DC82E578">
      <w:start w:val="18"/>
      <w:numFmt w:val="bullet"/>
      <w:lvlText w:val="-"/>
      <w:lvlJc w:val="left"/>
      <w:pPr>
        <w:ind w:left="1080" w:hanging="360"/>
      </w:pPr>
      <w:rPr>
        <w:rFonts w:ascii="Cambria" w:eastAsiaTheme="minorHAnsi"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57059C"/>
    <w:multiLevelType w:val="hybridMultilevel"/>
    <w:tmpl w:val="21E48F18"/>
    <w:lvl w:ilvl="0" w:tplc="607E33BC">
      <w:start w:val="40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p29dvfw3v29tzew90txaezos02ap2zrx2aw&quot;&gt;Full_Erasmus_library300713&lt;record-ids&gt;&lt;item&gt;660&lt;/item&gt;&lt;item&gt;1285&lt;/item&gt;&lt;item&gt;1478&lt;/item&gt;&lt;item&gt;1480&lt;/item&gt;&lt;item&gt;1482&lt;/item&gt;&lt;item&gt;1485&lt;/item&gt;&lt;item&gt;1545&lt;/item&gt;&lt;item&gt;1579&lt;/item&gt;&lt;item&gt;1580&lt;/item&gt;&lt;item&gt;1581&lt;/item&gt;&lt;item&gt;1582&lt;/item&gt;&lt;item&gt;1583&lt;/item&gt;&lt;item&gt;1584&lt;/item&gt;&lt;/record-ids&gt;&lt;/item&gt;&lt;/Libraries&gt;"/>
  </w:docVars>
  <w:rsids>
    <w:rsidRoot w:val="00460B6A"/>
    <w:rsid w:val="00000FF9"/>
    <w:rsid w:val="000016C6"/>
    <w:rsid w:val="00001DB4"/>
    <w:rsid w:val="00002590"/>
    <w:rsid w:val="00006550"/>
    <w:rsid w:val="00010E50"/>
    <w:rsid w:val="0001603B"/>
    <w:rsid w:val="0004278D"/>
    <w:rsid w:val="00046EE9"/>
    <w:rsid w:val="00054DA8"/>
    <w:rsid w:val="00060722"/>
    <w:rsid w:val="00063FD2"/>
    <w:rsid w:val="000716B1"/>
    <w:rsid w:val="00082F0A"/>
    <w:rsid w:val="00083F47"/>
    <w:rsid w:val="00096E33"/>
    <w:rsid w:val="000A23FC"/>
    <w:rsid w:val="000A25BB"/>
    <w:rsid w:val="000A6452"/>
    <w:rsid w:val="000B30BE"/>
    <w:rsid w:val="000C2FD3"/>
    <w:rsid w:val="000C34FA"/>
    <w:rsid w:val="000C68BD"/>
    <w:rsid w:val="000D2018"/>
    <w:rsid w:val="000D70BC"/>
    <w:rsid w:val="000E1BB2"/>
    <w:rsid w:val="000E3A92"/>
    <w:rsid w:val="000E56C5"/>
    <w:rsid w:val="000F0654"/>
    <w:rsid w:val="001018F6"/>
    <w:rsid w:val="00114D27"/>
    <w:rsid w:val="001165B2"/>
    <w:rsid w:val="00121768"/>
    <w:rsid w:val="00136EBB"/>
    <w:rsid w:val="00144DE5"/>
    <w:rsid w:val="0014654E"/>
    <w:rsid w:val="00150994"/>
    <w:rsid w:val="001516D8"/>
    <w:rsid w:val="00151702"/>
    <w:rsid w:val="00154357"/>
    <w:rsid w:val="0016488B"/>
    <w:rsid w:val="001659FE"/>
    <w:rsid w:val="001779CD"/>
    <w:rsid w:val="00185AA1"/>
    <w:rsid w:val="00195B39"/>
    <w:rsid w:val="001961F3"/>
    <w:rsid w:val="00196BAF"/>
    <w:rsid w:val="00197414"/>
    <w:rsid w:val="001A35B7"/>
    <w:rsid w:val="001A49B7"/>
    <w:rsid w:val="001B10A8"/>
    <w:rsid w:val="001B1DF7"/>
    <w:rsid w:val="001B2498"/>
    <w:rsid w:val="001B38CD"/>
    <w:rsid w:val="001B75DB"/>
    <w:rsid w:val="001B7D39"/>
    <w:rsid w:val="001C046C"/>
    <w:rsid w:val="001D56FC"/>
    <w:rsid w:val="001D797A"/>
    <w:rsid w:val="001D7D94"/>
    <w:rsid w:val="001E0B60"/>
    <w:rsid w:val="001E43F2"/>
    <w:rsid w:val="001E54AB"/>
    <w:rsid w:val="00201032"/>
    <w:rsid w:val="00205EE4"/>
    <w:rsid w:val="00207431"/>
    <w:rsid w:val="00211E84"/>
    <w:rsid w:val="002152D3"/>
    <w:rsid w:val="00215CEF"/>
    <w:rsid w:val="002161BA"/>
    <w:rsid w:val="00224C7D"/>
    <w:rsid w:val="0022669B"/>
    <w:rsid w:val="002321C0"/>
    <w:rsid w:val="00243312"/>
    <w:rsid w:val="00245275"/>
    <w:rsid w:val="00247300"/>
    <w:rsid w:val="00251DF3"/>
    <w:rsid w:val="00255DB0"/>
    <w:rsid w:val="00264F2B"/>
    <w:rsid w:val="0027775E"/>
    <w:rsid w:val="00277ECB"/>
    <w:rsid w:val="002807C9"/>
    <w:rsid w:val="002811EC"/>
    <w:rsid w:val="002A46BD"/>
    <w:rsid w:val="002B037C"/>
    <w:rsid w:val="002B5C6C"/>
    <w:rsid w:val="002B6BD9"/>
    <w:rsid w:val="002C1C2A"/>
    <w:rsid w:val="002C6DAD"/>
    <w:rsid w:val="002D121F"/>
    <w:rsid w:val="002D1438"/>
    <w:rsid w:val="002D683F"/>
    <w:rsid w:val="002D7F78"/>
    <w:rsid w:val="002E1D64"/>
    <w:rsid w:val="002E532E"/>
    <w:rsid w:val="00307C70"/>
    <w:rsid w:val="00314E75"/>
    <w:rsid w:val="00317D1C"/>
    <w:rsid w:val="003334D7"/>
    <w:rsid w:val="00351FC5"/>
    <w:rsid w:val="00354A35"/>
    <w:rsid w:val="003703C7"/>
    <w:rsid w:val="00387CCD"/>
    <w:rsid w:val="00396C64"/>
    <w:rsid w:val="003A32E1"/>
    <w:rsid w:val="003B13BF"/>
    <w:rsid w:val="003B37C9"/>
    <w:rsid w:val="003B7C02"/>
    <w:rsid w:val="003C0B46"/>
    <w:rsid w:val="003C4F19"/>
    <w:rsid w:val="003D59A8"/>
    <w:rsid w:val="003F4DBF"/>
    <w:rsid w:val="0041745A"/>
    <w:rsid w:val="00421F40"/>
    <w:rsid w:val="00422E92"/>
    <w:rsid w:val="00427A70"/>
    <w:rsid w:val="00441548"/>
    <w:rsid w:val="00441FEA"/>
    <w:rsid w:val="00442B92"/>
    <w:rsid w:val="004467BA"/>
    <w:rsid w:val="00456F4C"/>
    <w:rsid w:val="00460806"/>
    <w:rsid w:val="00460B6A"/>
    <w:rsid w:val="00461A79"/>
    <w:rsid w:val="0046247C"/>
    <w:rsid w:val="00465D3E"/>
    <w:rsid w:val="00472B20"/>
    <w:rsid w:val="00475E06"/>
    <w:rsid w:val="004812F2"/>
    <w:rsid w:val="004843B2"/>
    <w:rsid w:val="00485B75"/>
    <w:rsid w:val="0049594B"/>
    <w:rsid w:val="0049658B"/>
    <w:rsid w:val="004A7B85"/>
    <w:rsid w:val="004A7ED8"/>
    <w:rsid w:val="004B3285"/>
    <w:rsid w:val="004B4BB0"/>
    <w:rsid w:val="004D0F0D"/>
    <w:rsid w:val="004E2301"/>
    <w:rsid w:val="004E264D"/>
    <w:rsid w:val="00502901"/>
    <w:rsid w:val="005029DA"/>
    <w:rsid w:val="00502EBB"/>
    <w:rsid w:val="00504FB6"/>
    <w:rsid w:val="005206DE"/>
    <w:rsid w:val="00521E5F"/>
    <w:rsid w:val="0053636D"/>
    <w:rsid w:val="005568A8"/>
    <w:rsid w:val="0056536A"/>
    <w:rsid w:val="00572AF3"/>
    <w:rsid w:val="005868CA"/>
    <w:rsid w:val="00596CF1"/>
    <w:rsid w:val="005A2D70"/>
    <w:rsid w:val="005A5CA6"/>
    <w:rsid w:val="005B3A11"/>
    <w:rsid w:val="005D14DF"/>
    <w:rsid w:val="005D3251"/>
    <w:rsid w:val="005D7B30"/>
    <w:rsid w:val="005E4A53"/>
    <w:rsid w:val="005E65BF"/>
    <w:rsid w:val="005E7B54"/>
    <w:rsid w:val="005F29AC"/>
    <w:rsid w:val="005F2DB5"/>
    <w:rsid w:val="006002EA"/>
    <w:rsid w:val="00604AF7"/>
    <w:rsid w:val="00614D87"/>
    <w:rsid w:val="00622954"/>
    <w:rsid w:val="00637FB7"/>
    <w:rsid w:val="006428B7"/>
    <w:rsid w:val="00645A19"/>
    <w:rsid w:val="0064656C"/>
    <w:rsid w:val="006600D9"/>
    <w:rsid w:val="00672FB9"/>
    <w:rsid w:val="00675135"/>
    <w:rsid w:val="006844F8"/>
    <w:rsid w:val="006C0703"/>
    <w:rsid w:val="006C0A4A"/>
    <w:rsid w:val="006C4BA8"/>
    <w:rsid w:val="006D1524"/>
    <w:rsid w:val="006E7771"/>
    <w:rsid w:val="006F1472"/>
    <w:rsid w:val="006F2C39"/>
    <w:rsid w:val="006F4CC7"/>
    <w:rsid w:val="00705A1A"/>
    <w:rsid w:val="007107A7"/>
    <w:rsid w:val="00717FB7"/>
    <w:rsid w:val="007220BD"/>
    <w:rsid w:val="00730162"/>
    <w:rsid w:val="00730FD2"/>
    <w:rsid w:val="00737733"/>
    <w:rsid w:val="007401A8"/>
    <w:rsid w:val="00740E4B"/>
    <w:rsid w:val="007632CB"/>
    <w:rsid w:val="00763F12"/>
    <w:rsid w:val="00771D1B"/>
    <w:rsid w:val="0078487F"/>
    <w:rsid w:val="00793DFD"/>
    <w:rsid w:val="00795C0D"/>
    <w:rsid w:val="007B03F9"/>
    <w:rsid w:val="007B40D2"/>
    <w:rsid w:val="007C0234"/>
    <w:rsid w:val="007C0F6B"/>
    <w:rsid w:val="007D4B00"/>
    <w:rsid w:val="007E21D1"/>
    <w:rsid w:val="007E26A4"/>
    <w:rsid w:val="007E333D"/>
    <w:rsid w:val="007F6403"/>
    <w:rsid w:val="0082645A"/>
    <w:rsid w:val="00826580"/>
    <w:rsid w:val="008265E1"/>
    <w:rsid w:val="00826B1F"/>
    <w:rsid w:val="00832834"/>
    <w:rsid w:val="00834CC1"/>
    <w:rsid w:val="00837E49"/>
    <w:rsid w:val="008436D0"/>
    <w:rsid w:val="008513B5"/>
    <w:rsid w:val="008517C8"/>
    <w:rsid w:val="00862E78"/>
    <w:rsid w:val="00863BA5"/>
    <w:rsid w:val="00873C1C"/>
    <w:rsid w:val="00877E1F"/>
    <w:rsid w:val="0088634A"/>
    <w:rsid w:val="00891BFD"/>
    <w:rsid w:val="008925FB"/>
    <w:rsid w:val="00896544"/>
    <w:rsid w:val="00896898"/>
    <w:rsid w:val="00897FB6"/>
    <w:rsid w:val="008A0712"/>
    <w:rsid w:val="008A0FC9"/>
    <w:rsid w:val="008A4EFC"/>
    <w:rsid w:val="008B1C64"/>
    <w:rsid w:val="008B772F"/>
    <w:rsid w:val="008C0486"/>
    <w:rsid w:val="008C52B3"/>
    <w:rsid w:val="008E0B31"/>
    <w:rsid w:val="008E24A4"/>
    <w:rsid w:val="008E2E4A"/>
    <w:rsid w:val="008E49CC"/>
    <w:rsid w:val="008F650D"/>
    <w:rsid w:val="00901AAC"/>
    <w:rsid w:val="00902731"/>
    <w:rsid w:val="00907C50"/>
    <w:rsid w:val="009105E1"/>
    <w:rsid w:val="00913B7E"/>
    <w:rsid w:val="009201B4"/>
    <w:rsid w:val="00933EEE"/>
    <w:rsid w:val="00947CAC"/>
    <w:rsid w:val="00950A5C"/>
    <w:rsid w:val="00950B67"/>
    <w:rsid w:val="009543F4"/>
    <w:rsid w:val="009546AA"/>
    <w:rsid w:val="00985067"/>
    <w:rsid w:val="00986A33"/>
    <w:rsid w:val="009A3B79"/>
    <w:rsid w:val="009A590B"/>
    <w:rsid w:val="009A6326"/>
    <w:rsid w:val="009B33D2"/>
    <w:rsid w:val="009B3906"/>
    <w:rsid w:val="009C7D7C"/>
    <w:rsid w:val="009D057C"/>
    <w:rsid w:val="009E248B"/>
    <w:rsid w:val="009E37B4"/>
    <w:rsid w:val="009E5C3F"/>
    <w:rsid w:val="009F2693"/>
    <w:rsid w:val="00A0075B"/>
    <w:rsid w:val="00A10FB9"/>
    <w:rsid w:val="00A205CD"/>
    <w:rsid w:val="00A20BF2"/>
    <w:rsid w:val="00A25F35"/>
    <w:rsid w:val="00A275A9"/>
    <w:rsid w:val="00A32A80"/>
    <w:rsid w:val="00A60269"/>
    <w:rsid w:val="00A851D8"/>
    <w:rsid w:val="00A9408F"/>
    <w:rsid w:val="00A94604"/>
    <w:rsid w:val="00A94EA2"/>
    <w:rsid w:val="00AA5594"/>
    <w:rsid w:val="00AB02E3"/>
    <w:rsid w:val="00AB790F"/>
    <w:rsid w:val="00AD02A6"/>
    <w:rsid w:val="00AD0578"/>
    <w:rsid w:val="00AD6677"/>
    <w:rsid w:val="00AE0EF0"/>
    <w:rsid w:val="00AE4A31"/>
    <w:rsid w:val="00AE7E7B"/>
    <w:rsid w:val="00AF0464"/>
    <w:rsid w:val="00AF04FD"/>
    <w:rsid w:val="00AF0E8D"/>
    <w:rsid w:val="00B04D65"/>
    <w:rsid w:val="00B0718A"/>
    <w:rsid w:val="00B24062"/>
    <w:rsid w:val="00B2539E"/>
    <w:rsid w:val="00B32339"/>
    <w:rsid w:val="00B34971"/>
    <w:rsid w:val="00B35249"/>
    <w:rsid w:val="00B401B8"/>
    <w:rsid w:val="00B41DD3"/>
    <w:rsid w:val="00B47678"/>
    <w:rsid w:val="00B61F9A"/>
    <w:rsid w:val="00B637CE"/>
    <w:rsid w:val="00B75EB3"/>
    <w:rsid w:val="00B77BF1"/>
    <w:rsid w:val="00B82414"/>
    <w:rsid w:val="00B86E7D"/>
    <w:rsid w:val="00B87A57"/>
    <w:rsid w:val="00B902A0"/>
    <w:rsid w:val="00B91064"/>
    <w:rsid w:val="00BA449A"/>
    <w:rsid w:val="00BF7E17"/>
    <w:rsid w:val="00C06297"/>
    <w:rsid w:val="00C102D0"/>
    <w:rsid w:val="00C1209B"/>
    <w:rsid w:val="00C127C2"/>
    <w:rsid w:val="00C421EE"/>
    <w:rsid w:val="00C42F0F"/>
    <w:rsid w:val="00C54E36"/>
    <w:rsid w:val="00C60B91"/>
    <w:rsid w:val="00C64F56"/>
    <w:rsid w:val="00C7170B"/>
    <w:rsid w:val="00C852F5"/>
    <w:rsid w:val="00C86815"/>
    <w:rsid w:val="00C87FAB"/>
    <w:rsid w:val="00C91095"/>
    <w:rsid w:val="00CA2B59"/>
    <w:rsid w:val="00CA5534"/>
    <w:rsid w:val="00CA6339"/>
    <w:rsid w:val="00CB00C3"/>
    <w:rsid w:val="00CC1B79"/>
    <w:rsid w:val="00CC68DF"/>
    <w:rsid w:val="00CE137D"/>
    <w:rsid w:val="00CE35BC"/>
    <w:rsid w:val="00CF5F29"/>
    <w:rsid w:val="00D041DF"/>
    <w:rsid w:val="00D17F5B"/>
    <w:rsid w:val="00D20A6F"/>
    <w:rsid w:val="00D2775E"/>
    <w:rsid w:val="00D3595C"/>
    <w:rsid w:val="00D43E35"/>
    <w:rsid w:val="00D66A8C"/>
    <w:rsid w:val="00D676F2"/>
    <w:rsid w:val="00D75867"/>
    <w:rsid w:val="00D77F4C"/>
    <w:rsid w:val="00D81D4D"/>
    <w:rsid w:val="00D82E91"/>
    <w:rsid w:val="00D85766"/>
    <w:rsid w:val="00D85F8F"/>
    <w:rsid w:val="00D97CC8"/>
    <w:rsid w:val="00DA4200"/>
    <w:rsid w:val="00DA68DF"/>
    <w:rsid w:val="00DB0D3D"/>
    <w:rsid w:val="00DB4A2A"/>
    <w:rsid w:val="00DB62D6"/>
    <w:rsid w:val="00DC1CA7"/>
    <w:rsid w:val="00DC64F1"/>
    <w:rsid w:val="00DC7436"/>
    <w:rsid w:val="00DD1931"/>
    <w:rsid w:val="00DE568A"/>
    <w:rsid w:val="00DE63F0"/>
    <w:rsid w:val="00E042B4"/>
    <w:rsid w:val="00E233B9"/>
    <w:rsid w:val="00E51055"/>
    <w:rsid w:val="00E545C9"/>
    <w:rsid w:val="00E546F5"/>
    <w:rsid w:val="00E70784"/>
    <w:rsid w:val="00E70FF0"/>
    <w:rsid w:val="00E8182C"/>
    <w:rsid w:val="00E911C9"/>
    <w:rsid w:val="00EA1936"/>
    <w:rsid w:val="00EA3314"/>
    <w:rsid w:val="00EB68CE"/>
    <w:rsid w:val="00EC5B0D"/>
    <w:rsid w:val="00ED1C9F"/>
    <w:rsid w:val="00EE5BB7"/>
    <w:rsid w:val="00EF3FF0"/>
    <w:rsid w:val="00EF4D07"/>
    <w:rsid w:val="00EF78E1"/>
    <w:rsid w:val="00F0259F"/>
    <w:rsid w:val="00F05DFA"/>
    <w:rsid w:val="00F100FA"/>
    <w:rsid w:val="00F137A0"/>
    <w:rsid w:val="00F13CF1"/>
    <w:rsid w:val="00F17AD3"/>
    <w:rsid w:val="00F35302"/>
    <w:rsid w:val="00F36FC8"/>
    <w:rsid w:val="00F437C5"/>
    <w:rsid w:val="00F43810"/>
    <w:rsid w:val="00F56CB6"/>
    <w:rsid w:val="00F610AD"/>
    <w:rsid w:val="00F65C79"/>
    <w:rsid w:val="00F758E7"/>
    <w:rsid w:val="00F8170B"/>
    <w:rsid w:val="00F93944"/>
    <w:rsid w:val="00FA1BE8"/>
    <w:rsid w:val="00FA22AE"/>
    <w:rsid w:val="00FA5342"/>
    <w:rsid w:val="00FB11CC"/>
    <w:rsid w:val="00FB2A5D"/>
    <w:rsid w:val="00FB4A6B"/>
    <w:rsid w:val="00FB68AA"/>
    <w:rsid w:val="00FB6F9D"/>
    <w:rsid w:val="00FC0106"/>
    <w:rsid w:val="00FC3BFA"/>
    <w:rsid w:val="00FC7303"/>
    <w:rsid w:val="00FC7BEA"/>
    <w:rsid w:val="00FD0D63"/>
    <w:rsid w:val="00FE1374"/>
    <w:rsid w:val="00FF36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6FB1"/>
  <w15:chartTrackingRefBased/>
  <w15:docId w15:val="{37D108BF-DA13-4B59-A885-250060A6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DF"/>
    <w:rPr>
      <w:rFonts w:ascii="Times New Roman" w:hAnsi="Times New Roman"/>
      <w:lang w:val="en-GB"/>
    </w:rPr>
  </w:style>
  <w:style w:type="paragraph" w:styleId="Heading1">
    <w:name w:val="heading 1"/>
    <w:basedOn w:val="Normal"/>
    <w:next w:val="Normal"/>
    <w:link w:val="Heading1Char"/>
    <w:uiPriority w:val="9"/>
    <w:qFormat/>
    <w:rsid w:val="004E23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19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7BF1"/>
    <w:rPr>
      <w:sz w:val="16"/>
      <w:szCs w:val="16"/>
    </w:rPr>
  </w:style>
  <w:style w:type="paragraph" w:styleId="CommentText">
    <w:name w:val="annotation text"/>
    <w:basedOn w:val="Normal"/>
    <w:link w:val="CommentTextChar"/>
    <w:uiPriority w:val="99"/>
    <w:semiHidden/>
    <w:unhideWhenUsed/>
    <w:rsid w:val="00B77BF1"/>
    <w:pPr>
      <w:spacing w:line="240" w:lineRule="auto"/>
    </w:pPr>
    <w:rPr>
      <w:sz w:val="20"/>
      <w:szCs w:val="20"/>
    </w:rPr>
  </w:style>
  <w:style w:type="character" w:customStyle="1" w:styleId="CommentTextChar">
    <w:name w:val="Comment Text Char"/>
    <w:basedOn w:val="DefaultParagraphFont"/>
    <w:link w:val="CommentText"/>
    <w:uiPriority w:val="99"/>
    <w:semiHidden/>
    <w:rsid w:val="00B77BF1"/>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B77BF1"/>
    <w:rPr>
      <w:b/>
      <w:bCs/>
    </w:rPr>
  </w:style>
  <w:style w:type="character" w:customStyle="1" w:styleId="CommentSubjectChar">
    <w:name w:val="Comment Subject Char"/>
    <w:basedOn w:val="CommentTextChar"/>
    <w:link w:val="CommentSubject"/>
    <w:uiPriority w:val="99"/>
    <w:semiHidden/>
    <w:rsid w:val="00B77BF1"/>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B77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BF1"/>
    <w:rPr>
      <w:rFonts w:ascii="Segoe UI" w:hAnsi="Segoe UI" w:cs="Segoe UI"/>
      <w:sz w:val="18"/>
      <w:szCs w:val="18"/>
      <w:lang w:val="en-GB"/>
    </w:rPr>
  </w:style>
  <w:style w:type="paragraph" w:styleId="ListParagraph">
    <w:name w:val="List Paragraph"/>
    <w:basedOn w:val="Normal"/>
    <w:uiPriority w:val="34"/>
    <w:qFormat/>
    <w:rsid w:val="00B2539E"/>
    <w:pPr>
      <w:ind w:left="720"/>
      <w:contextualSpacing/>
    </w:pPr>
  </w:style>
  <w:style w:type="paragraph" w:styleId="Header">
    <w:name w:val="header"/>
    <w:basedOn w:val="Normal"/>
    <w:link w:val="HeaderChar"/>
    <w:uiPriority w:val="99"/>
    <w:unhideWhenUsed/>
    <w:rsid w:val="00A25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F35"/>
    <w:rPr>
      <w:rFonts w:ascii="Times New Roman" w:hAnsi="Times New Roman"/>
      <w:lang w:val="en-GB"/>
    </w:rPr>
  </w:style>
  <w:style w:type="paragraph" w:styleId="Footer">
    <w:name w:val="footer"/>
    <w:basedOn w:val="Normal"/>
    <w:link w:val="FooterChar"/>
    <w:uiPriority w:val="99"/>
    <w:unhideWhenUsed/>
    <w:rsid w:val="00A25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F35"/>
    <w:rPr>
      <w:rFonts w:ascii="Times New Roman" w:hAnsi="Times New Roman"/>
      <w:lang w:val="en-GB"/>
    </w:rPr>
  </w:style>
  <w:style w:type="character" w:customStyle="1" w:styleId="Heading2Char">
    <w:name w:val="Heading 2 Char"/>
    <w:basedOn w:val="DefaultParagraphFont"/>
    <w:link w:val="Heading2"/>
    <w:uiPriority w:val="9"/>
    <w:rsid w:val="00EA1936"/>
    <w:rPr>
      <w:rFonts w:asciiTheme="majorHAnsi" w:eastAsiaTheme="majorEastAsia" w:hAnsiTheme="majorHAnsi" w:cstheme="majorBidi"/>
      <w:color w:val="2E74B5" w:themeColor="accent1" w:themeShade="BF"/>
      <w:sz w:val="26"/>
      <w:szCs w:val="26"/>
      <w:lang w:val="en-GB"/>
    </w:rPr>
  </w:style>
  <w:style w:type="paragraph" w:styleId="FootnoteText">
    <w:name w:val="footnote text"/>
    <w:basedOn w:val="Normal"/>
    <w:link w:val="FootnoteTextChar"/>
    <w:uiPriority w:val="99"/>
    <w:unhideWhenUsed/>
    <w:rsid w:val="00F65C79"/>
    <w:pPr>
      <w:spacing w:after="0" w:line="240" w:lineRule="auto"/>
    </w:pPr>
    <w:rPr>
      <w:sz w:val="20"/>
      <w:szCs w:val="20"/>
    </w:rPr>
  </w:style>
  <w:style w:type="character" w:customStyle="1" w:styleId="FootnoteTextChar">
    <w:name w:val="Footnote Text Char"/>
    <w:basedOn w:val="DefaultParagraphFont"/>
    <w:link w:val="FootnoteText"/>
    <w:uiPriority w:val="99"/>
    <w:rsid w:val="00F65C79"/>
    <w:rPr>
      <w:rFonts w:ascii="Times New Roman" w:hAnsi="Times New Roman"/>
      <w:sz w:val="20"/>
      <w:szCs w:val="20"/>
      <w:lang w:val="en-GB"/>
    </w:rPr>
  </w:style>
  <w:style w:type="character" w:styleId="FootnoteReference">
    <w:name w:val="footnote reference"/>
    <w:basedOn w:val="DefaultParagraphFont"/>
    <w:uiPriority w:val="99"/>
    <w:unhideWhenUsed/>
    <w:rsid w:val="00F65C79"/>
    <w:rPr>
      <w:vertAlign w:val="superscript"/>
    </w:rPr>
  </w:style>
  <w:style w:type="character" w:styleId="Hyperlink">
    <w:name w:val="Hyperlink"/>
    <w:basedOn w:val="DefaultParagraphFont"/>
    <w:uiPriority w:val="99"/>
    <w:unhideWhenUsed/>
    <w:rsid w:val="000716B1"/>
    <w:rPr>
      <w:color w:val="0563C1" w:themeColor="hyperlink"/>
      <w:u w:val="single"/>
    </w:rPr>
  </w:style>
  <w:style w:type="paragraph" w:styleId="Revision">
    <w:name w:val="Revision"/>
    <w:hidden/>
    <w:uiPriority w:val="99"/>
    <w:semiHidden/>
    <w:rsid w:val="00A60269"/>
    <w:pPr>
      <w:spacing w:after="0" w:line="240" w:lineRule="auto"/>
    </w:pPr>
    <w:rPr>
      <w:rFonts w:ascii="Times New Roman" w:hAnsi="Times New Roman"/>
      <w:lang w:val="en-GB"/>
    </w:rPr>
  </w:style>
  <w:style w:type="paragraph" w:styleId="NormalWeb">
    <w:name w:val="Normal (Web)"/>
    <w:basedOn w:val="Normal"/>
    <w:uiPriority w:val="99"/>
    <w:semiHidden/>
    <w:unhideWhenUsed/>
    <w:rsid w:val="00B35249"/>
    <w:pPr>
      <w:spacing w:before="100" w:beforeAutospacing="1" w:after="100" w:afterAutospacing="1" w:line="240" w:lineRule="auto"/>
    </w:pPr>
    <w:rPr>
      <w:rFonts w:eastAsia="Times New Roman" w:cs="Times New Roman"/>
      <w:sz w:val="24"/>
      <w:szCs w:val="24"/>
      <w:lang w:val="en-US"/>
    </w:rPr>
  </w:style>
  <w:style w:type="paragraph" w:customStyle="1" w:styleId="EndNoteBibliographyTitle">
    <w:name w:val="EndNote Bibliography Title"/>
    <w:basedOn w:val="Normal"/>
    <w:link w:val="EndNoteBibliographyTitleChar"/>
    <w:rsid w:val="00063FD2"/>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063FD2"/>
    <w:rPr>
      <w:rFonts w:ascii="Times New Roman" w:hAnsi="Times New Roman" w:cs="Times New Roman"/>
      <w:noProof/>
    </w:rPr>
  </w:style>
  <w:style w:type="paragraph" w:customStyle="1" w:styleId="EndNoteBibliography">
    <w:name w:val="EndNote Bibliography"/>
    <w:basedOn w:val="Normal"/>
    <w:link w:val="EndNoteBibliographyChar"/>
    <w:rsid w:val="00063FD2"/>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063FD2"/>
    <w:rPr>
      <w:rFonts w:ascii="Times New Roman" w:hAnsi="Times New Roman" w:cs="Times New Roman"/>
      <w:noProof/>
    </w:rPr>
  </w:style>
  <w:style w:type="character" w:styleId="FollowedHyperlink">
    <w:name w:val="FollowedHyperlink"/>
    <w:basedOn w:val="DefaultParagraphFont"/>
    <w:uiPriority w:val="99"/>
    <w:semiHidden/>
    <w:unhideWhenUsed/>
    <w:rsid w:val="005A5CA6"/>
    <w:rPr>
      <w:color w:val="954F72" w:themeColor="followedHyperlink"/>
      <w:u w:val="single"/>
    </w:rPr>
  </w:style>
  <w:style w:type="character" w:customStyle="1" w:styleId="Heading1Char">
    <w:name w:val="Heading 1 Char"/>
    <w:basedOn w:val="DefaultParagraphFont"/>
    <w:link w:val="Heading1"/>
    <w:uiPriority w:val="9"/>
    <w:rsid w:val="004E2301"/>
    <w:rPr>
      <w:rFonts w:asciiTheme="majorHAnsi" w:eastAsiaTheme="majorEastAsia" w:hAnsiTheme="majorHAnsi" w:cstheme="majorBidi"/>
      <w:color w:val="2E74B5" w:themeColor="accent1" w:themeShade="BF"/>
      <w:sz w:val="32"/>
      <w:szCs w:val="32"/>
      <w:lang w:val="en-GB"/>
    </w:rPr>
  </w:style>
  <w:style w:type="character" w:customStyle="1" w:styleId="UnresolvedMention">
    <w:name w:val="Unresolved Mention"/>
    <w:basedOn w:val="DefaultParagraphFont"/>
    <w:uiPriority w:val="99"/>
    <w:semiHidden/>
    <w:unhideWhenUsed/>
    <w:rsid w:val="00C910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90458">
      <w:bodyDiv w:val="1"/>
      <w:marLeft w:val="0"/>
      <w:marRight w:val="0"/>
      <w:marTop w:val="0"/>
      <w:marBottom w:val="0"/>
      <w:divBdr>
        <w:top w:val="none" w:sz="0" w:space="0" w:color="auto"/>
        <w:left w:val="none" w:sz="0" w:space="0" w:color="auto"/>
        <w:bottom w:val="none" w:sz="0" w:space="0" w:color="auto"/>
        <w:right w:val="none" w:sz="0" w:space="0" w:color="auto"/>
      </w:divBdr>
      <w:divsChild>
        <w:div w:id="1165703415">
          <w:marLeft w:val="0"/>
          <w:marRight w:val="0"/>
          <w:marTop w:val="0"/>
          <w:marBottom w:val="0"/>
          <w:divBdr>
            <w:top w:val="none" w:sz="0" w:space="0" w:color="auto"/>
            <w:left w:val="none" w:sz="0" w:space="0" w:color="auto"/>
            <w:bottom w:val="none" w:sz="0" w:space="0" w:color="auto"/>
            <w:right w:val="none" w:sz="0" w:space="0" w:color="auto"/>
          </w:divBdr>
          <w:divsChild>
            <w:div w:id="51853701">
              <w:marLeft w:val="0"/>
              <w:marRight w:val="0"/>
              <w:marTop w:val="0"/>
              <w:marBottom w:val="0"/>
              <w:divBdr>
                <w:top w:val="none" w:sz="0" w:space="0" w:color="auto"/>
                <w:left w:val="none" w:sz="0" w:space="0" w:color="auto"/>
                <w:bottom w:val="none" w:sz="0" w:space="0" w:color="auto"/>
                <w:right w:val="none" w:sz="0" w:space="0" w:color="auto"/>
              </w:divBdr>
              <w:divsChild>
                <w:div w:id="515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82655">
      <w:bodyDiv w:val="1"/>
      <w:marLeft w:val="0"/>
      <w:marRight w:val="0"/>
      <w:marTop w:val="0"/>
      <w:marBottom w:val="0"/>
      <w:divBdr>
        <w:top w:val="none" w:sz="0" w:space="0" w:color="auto"/>
        <w:left w:val="none" w:sz="0" w:space="0" w:color="auto"/>
        <w:bottom w:val="none" w:sz="0" w:space="0" w:color="auto"/>
        <w:right w:val="none" w:sz="0" w:space="0" w:color="auto"/>
      </w:divBdr>
      <w:divsChild>
        <w:div w:id="1704557900">
          <w:marLeft w:val="0"/>
          <w:marRight w:val="0"/>
          <w:marTop w:val="0"/>
          <w:marBottom w:val="0"/>
          <w:divBdr>
            <w:top w:val="none" w:sz="0" w:space="0" w:color="auto"/>
            <w:left w:val="none" w:sz="0" w:space="0" w:color="auto"/>
            <w:bottom w:val="none" w:sz="0" w:space="0" w:color="auto"/>
            <w:right w:val="none" w:sz="0" w:space="0" w:color="auto"/>
          </w:divBdr>
          <w:divsChild>
            <w:div w:id="277685167">
              <w:marLeft w:val="0"/>
              <w:marRight w:val="0"/>
              <w:marTop w:val="0"/>
              <w:marBottom w:val="0"/>
              <w:divBdr>
                <w:top w:val="none" w:sz="0" w:space="0" w:color="auto"/>
                <w:left w:val="none" w:sz="0" w:space="0" w:color="auto"/>
                <w:bottom w:val="none" w:sz="0" w:space="0" w:color="auto"/>
                <w:right w:val="none" w:sz="0" w:space="0" w:color="auto"/>
              </w:divBdr>
              <w:divsChild>
                <w:div w:id="385761685">
                  <w:marLeft w:val="0"/>
                  <w:marRight w:val="0"/>
                  <w:marTop w:val="0"/>
                  <w:marBottom w:val="0"/>
                  <w:divBdr>
                    <w:top w:val="none" w:sz="0" w:space="0" w:color="auto"/>
                    <w:left w:val="none" w:sz="0" w:space="0" w:color="auto"/>
                    <w:bottom w:val="none" w:sz="0" w:space="0" w:color="auto"/>
                    <w:right w:val="none" w:sz="0" w:space="0" w:color="auto"/>
                  </w:divBdr>
                </w:div>
              </w:divsChild>
            </w:div>
            <w:div w:id="764113644">
              <w:marLeft w:val="0"/>
              <w:marRight w:val="0"/>
              <w:marTop w:val="0"/>
              <w:marBottom w:val="0"/>
              <w:divBdr>
                <w:top w:val="none" w:sz="0" w:space="0" w:color="auto"/>
                <w:left w:val="none" w:sz="0" w:space="0" w:color="auto"/>
                <w:bottom w:val="none" w:sz="0" w:space="0" w:color="auto"/>
                <w:right w:val="none" w:sz="0" w:space="0" w:color="auto"/>
              </w:divBdr>
              <w:divsChild>
                <w:div w:id="1441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569">
      <w:bodyDiv w:val="1"/>
      <w:marLeft w:val="0"/>
      <w:marRight w:val="0"/>
      <w:marTop w:val="0"/>
      <w:marBottom w:val="0"/>
      <w:divBdr>
        <w:top w:val="none" w:sz="0" w:space="0" w:color="auto"/>
        <w:left w:val="none" w:sz="0" w:space="0" w:color="auto"/>
        <w:bottom w:val="none" w:sz="0" w:space="0" w:color="auto"/>
        <w:right w:val="none" w:sz="0" w:space="0" w:color="auto"/>
      </w:divBdr>
      <w:divsChild>
        <w:div w:id="1369064583">
          <w:marLeft w:val="0"/>
          <w:marRight w:val="0"/>
          <w:marTop w:val="0"/>
          <w:marBottom w:val="0"/>
          <w:divBdr>
            <w:top w:val="none" w:sz="0" w:space="0" w:color="auto"/>
            <w:left w:val="none" w:sz="0" w:space="0" w:color="auto"/>
            <w:bottom w:val="none" w:sz="0" w:space="0" w:color="auto"/>
            <w:right w:val="none" w:sz="0" w:space="0" w:color="auto"/>
          </w:divBdr>
          <w:divsChild>
            <w:div w:id="1562131142">
              <w:marLeft w:val="0"/>
              <w:marRight w:val="0"/>
              <w:marTop w:val="0"/>
              <w:marBottom w:val="0"/>
              <w:divBdr>
                <w:top w:val="none" w:sz="0" w:space="0" w:color="auto"/>
                <w:left w:val="none" w:sz="0" w:space="0" w:color="auto"/>
                <w:bottom w:val="none" w:sz="0" w:space="0" w:color="auto"/>
                <w:right w:val="none" w:sz="0" w:space="0" w:color="auto"/>
              </w:divBdr>
              <w:divsChild>
                <w:div w:id="1063720420">
                  <w:marLeft w:val="0"/>
                  <w:marRight w:val="0"/>
                  <w:marTop w:val="0"/>
                  <w:marBottom w:val="0"/>
                  <w:divBdr>
                    <w:top w:val="none" w:sz="0" w:space="0" w:color="auto"/>
                    <w:left w:val="none" w:sz="0" w:space="0" w:color="auto"/>
                    <w:bottom w:val="none" w:sz="0" w:space="0" w:color="auto"/>
                    <w:right w:val="none" w:sz="0" w:space="0" w:color="auto"/>
                  </w:divBdr>
                  <w:divsChild>
                    <w:div w:id="15866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828442">
      <w:bodyDiv w:val="1"/>
      <w:marLeft w:val="0"/>
      <w:marRight w:val="0"/>
      <w:marTop w:val="0"/>
      <w:marBottom w:val="0"/>
      <w:divBdr>
        <w:top w:val="none" w:sz="0" w:space="0" w:color="auto"/>
        <w:left w:val="none" w:sz="0" w:space="0" w:color="auto"/>
        <w:bottom w:val="none" w:sz="0" w:space="0" w:color="auto"/>
        <w:right w:val="none" w:sz="0" w:space="0" w:color="auto"/>
      </w:divBdr>
      <w:divsChild>
        <w:div w:id="1786192359">
          <w:marLeft w:val="0"/>
          <w:marRight w:val="0"/>
          <w:marTop w:val="0"/>
          <w:marBottom w:val="0"/>
          <w:divBdr>
            <w:top w:val="none" w:sz="0" w:space="0" w:color="auto"/>
            <w:left w:val="none" w:sz="0" w:space="0" w:color="auto"/>
            <w:bottom w:val="none" w:sz="0" w:space="0" w:color="auto"/>
            <w:right w:val="none" w:sz="0" w:space="0" w:color="auto"/>
          </w:divBdr>
          <w:divsChild>
            <w:div w:id="1237476388">
              <w:marLeft w:val="0"/>
              <w:marRight w:val="0"/>
              <w:marTop w:val="0"/>
              <w:marBottom w:val="0"/>
              <w:divBdr>
                <w:top w:val="none" w:sz="0" w:space="0" w:color="auto"/>
                <w:left w:val="none" w:sz="0" w:space="0" w:color="auto"/>
                <w:bottom w:val="none" w:sz="0" w:space="0" w:color="auto"/>
                <w:right w:val="none" w:sz="0" w:space="0" w:color="auto"/>
              </w:divBdr>
              <w:divsChild>
                <w:div w:id="889222384">
                  <w:marLeft w:val="0"/>
                  <w:marRight w:val="0"/>
                  <w:marTop w:val="0"/>
                  <w:marBottom w:val="0"/>
                  <w:divBdr>
                    <w:top w:val="none" w:sz="0" w:space="0" w:color="auto"/>
                    <w:left w:val="none" w:sz="0" w:space="0" w:color="auto"/>
                    <w:bottom w:val="none" w:sz="0" w:space="0" w:color="auto"/>
                    <w:right w:val="none" w:sz="0" w:space="0" w:color="auto"/>
                  </w:divBdr>
                  <w:divsChild>
                    <w:div w:id="14075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6999">
      <w:bodyDiv w:val="1"/>
      <w:marLeft w:val="0"/>
      <w:marRight w:val="0"/>
      <w:marTop w:val="0"/>
      <w:marBottom w:val="0"/>
      <w:divBdr>
        <w:top w:val="none" w:sz="0" w:space="0" w:color="auto"/>
        <w:left w:val="none" w:sz="0" w:space="0" w:color="auto"/>
        <w:bottom w:val="none" w:sz="0" w:space="0" w:color="auto"/>
        <w:right w:val="none" w:sz="0" w:space="0" w:color="auto"/>
      </w:divBdr>
      <w:divsChild>
        <w:div w:id="1293486712">
          <w:marLeft w:val="0"/>
          <w:marRight w:val="0"/>
          <w:marTop w:val="0"/>
          <w:marBottom w:val="0"/>
          <w:divBdr>
            <w:top w:val="none" w:sz="0" w:space="0" w:color="auto"/>
            <w:left w:val="none" w:sz="0" w:space="0" w:color="auto"/>
            <w:bottom w:val="none" w:sz="0" w:space="0" w:color="auto"/>
            <w:right w:val="none" w:sz="0" w:space="0" w:color="auto"/>
          </w:divBdr>
          <w:divsChild>
            <w:div w:id="1601064500">
              <w:marLeft w:val="0"/>
              <w:marRight w:val="0"/>
              <w:marTop w:val="0"/>
              <w:marBottom w:val="0"/>
              <w:divBdr>
                <w:top w:val="none" w:sz="0" w:space="0" w:color="auto"/>
                <w:left w:val="none" w:sz="0" w:space="0" w:color="auto"/>
                <w:bottom w:val="none" w:sz="0" w:space="0" w:color="auto"/>
                <w:right w:val="none" w:sz="0" w:space="0" w:color="auto"/>
              </w:divBdr>
              <w:divsChild>
                <w:div w:id="18665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6726">
      <w:bodyDiv w:val="1"/>
      <w:marLeft w:val="0"/>
      <w:marRight w:val="0"/>
      <w:marTop w:val="0"/>
      <w:marBottom w:val="0"/>
      <w:divBdr>
        <w:top w:val="none" w:sz="0" w:space="0" w:color="auto"/>
        <w:left w:val="none" w:sz="0" w:space="0" w:color="auto"/>
        <w:bottom w:val="none" w:sz="0" w:space="0" w:color="auto"/>
        <w:right w:val="none" w:sz="0" w:space="0" w:color="auto"/>
      </w:divBdr>
      <w:divsChild>
        <w:div w:id="1331325333">
          <w:marLeft w:val="0"/>
          <w:marRight w:val="0"/>
          <w:marTop w:val="0"/>
          <w:marBottom w:val="0"/>
          <w:divBdr>
            <w:top w:val="none" w:sz="0" w:space="0" w:color="auto"/>
            <w:left w:val="none" w:sz="0" w:space="0" w:color="auto"/>
            <w:bottom w:val="none" w:sz="0" w:space="0" w:color="auto"/>
            <w:right w:val="none" w:sz="0" w:space="0" w:color="auto"/>
          </w:divBdr>
          <w:divsChild>
            <w:div w:id="911886310">
              <w:marLeft w:val="0"/>
              <w:marRight w:val="0"/>
              <w:marTop w:val="0"/>
              <w:marBottom w:val="0"/>
              <w:divBdr>
                <w:top w:val="none" w:sz="0" w:space="0" w:color="auto"/>
                <w:left w:val="none" w:sz="0" w:space="0" w:color="auto"/>
                <w:bottom w:val="none" w:sz="0" w:space="0" w:color="auto"/>
                <w:right w:val="none" w:sz="0" w:space="0" w:color="auto"/>
              </w:divBdr>
              <w:divsChild>
                <w:div w:id="820736957">
                  <w:marLeft w:val="0"/>
                  <w:marRight w:val="0"/>
                  <w:marTop w:val="0"/>
                  <w:marBottom w:val="0"/>
                  <w:divBdr>
                    <w:top w:val="none" w:sz="0" w:space="0" w:color="auto"/>
                    <w:left w:val="none" w:sz="0" w:space="0" w:color="auto"/>
                    <w:bottom w:val="none" w:sz="0" w:space="0" w:color="auto"/>
                    <w:right w:val="none" w:sz="0" w:space="0" w:color="auto"/>
                  </w:divBdr>
                  <w:divsChild>
                    <w:div w:id="1076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410430">
      <w:bodyDiv w:val="1"/>
      <w:marLeft w:val="0"/>
      <w:marRight w:val="0"/>
      <w:marTop w:val="0"/>
      <w:marBottom w:val="0"/>
      <w:divBdr>
        <w:top w:val="none" w:sz="0" w:space="0" w:color="auto"/>
        <w:left w:val="none" w:sz="0" w:space="0" w:color="auto"/>
        <w:bottom w:val="none" w:sz="0" w:space="0" w:color="auto"/>
        <w:right w:val="none" w:sz="0" w:space="0" w:color="auto"/>
      </w:divBdr>
      <w:divsChild>
        <w:div w:id="1572158839">
          <w:marLeft w:val="0"/>
          <w:marRight w:val="0"/>
          <w:marTop w:val="0"/>
          <w:marBottom w:val="0"/>
          <w:divBdr>
            <w:top w:val="none" w:sz="0" w:space="0" w:color="auto"/>
            <w:left w:val="none" w:sz="0" w:space="0" w:color="auto"/>
            <w:bottom w:val="none" w:sz="0" w:space="0" w:color="auto"/>
            <w:right w:val="none" w:sz="0" w:space="0" w:color="auto"/>
          </w:divBdr>
          <w:divsChild>
            <w:div w:id="1750299684">
              <w:marLeft w:val="0"/>
              <w:marRight w:val="0"/>
              <w:marTop w:val="0"/>
              <w:marBottom w:val="0"/>
              <w:divBdr>
                <w:top w:val="none" w:sz="0" w:space="0" w:color="auto"/>
                <w:left w:val="none" w:sz="0" w:space="0" w:color="auto"/>
                <w:bottom w:val="none" w:sz="0" w:space="0" w:color="auto"/>
                <w:right w:val="none" w:sz="0" w:space="0" w:color="auto"/>
              </w:divBdr>
              <w:divsChild>
                <w:div w:id="4485471">
                  <w:marLeft w:val="0"/>
                  <w:marRight w:val="0"/>
                  <w:marTop w:val="0"/>
                  <w:marBottom w:val="0"/>
                  <w:divBdr>
                    <w:top w:val="none" w:sz="0" w:space="0" w:color="auto"/>
                    <w:left w:val="none" w:sz="0" w:space="0" w:color="auto"/>
                    <w:bottom w:val="none" w:sz="0" w:space="0" w:color="auto"/>
                    <w:right w:val="none" w:sz="0" w:space="0" w:color="auto"/>
                  </w:divBdr>
                </w:div>
              </w:divsChild>
            </w:div>
            <w:div w:id="770511522">
              <w:marLeft w:val="0"/>
              <w:marRight w:val="0"/>
              <w:marTop w:val="0"/>
              <w:marBottom w:val="0"/>
              <w:divBdr>
                <w:top w:val="none" w:sz="0" w:space="0" w:color="auto"/>
                <w:left w:val="none" w:sz="0" w:space="0" w:color="auto"/>
                <w:bottom w:val="none" w:sz="0" w:space="0" w:color="auto"/>
                <w:right w:val="none" w:sz="0" w:space="0" w:color="auto"/>
              </w:divBdr>
              <w:divsChild>
                <w:div w:id="8820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005">
      <w:bodyDiv w:val="1"/>
      <w:marLeft w:val="0"/>
      <w:marRight w:val="0"/>
      <w:marTop w:val="0"/>
      <w:marBottom w:val="0"/>
      <w:divBdr>
        <w:top w:val="none" w:sz="0" w:space="0" w:color="auto"/>
        <w:left w:val="none" w:sz="0" w:space="0" w:color="auto"/>
        <w:bottom w:val="none" w:sz="0" w:space="0" w:color="auto"/>
        <w:right w:val="none" w:sz="0" w:space="0" w:color="auto"/>
      </w:divBdr>
      <w:divsChild>
        <w:div w:id="269169585">
          <w:marLeft w:val="0"/>
          <w:marRight w:val="0"/>
          <w:marTop w:val="0"/>
          <w:marBottom w:val="0"/>
          <w:divBdr>
            <w:top w:val="none" w:sz="0" w:space="0" w:color="auto"/>
            <w:left w:val="none" w:sz="0" w:space="0" w:color="auto"/>
            <w:bottom w:val="none" w:sz="0" w:space="0" w:color="auto"/>
            <w:right w:val="none" w:sz="0" w:space="0" w:color="auto"/>
          </w:divBdr>
          <w:divsChild>
            <w:div w:id="1608266883">
              <w:marLeft w:val="0"/>
              <w:marRight w:val="0"/>
              <w:marTop w:val="0"/>
              <w:marBottom w:val="0"/>
              <w:divBdr>
                <w:top w:val="none" w:sz="0" w:space="0" w:color="auto"/>
                <w:left w:val="none" w:sz="0" w:space="0" w:color="auto"/>
                <w:bottom w:val="none" w:sz="0" w:space="0" w:color="auto"/>
                <w:right w:val="none" w:sz="0" w:space="0" w:color="auto"/>
              </w:divBdr>
              <w:divsChild>
                <w:div w:id="244266510">
                  <w:marLeft w:val="0"/>
                  <w:marRight w:val="0"/>
                  <w:marTop w:val="0"/>
                  <w:marBottom w:val="0"/>
                  <w:divBdr>
                    <w:top w:val="none" w:sz="0" w:space="0" w:color="auto"/>
                    <w:left w:val="none" w:sz="0" w:space="0" w:color="auto"/>
                    <w:bottom w:val="none" w:sz="0" w:space="0" w:color="auto"/>
                    <w:right w:val="none" w:sz="0" w:space="0" w:color="auto"/>
                  </w:divBdr>
                  <w:divsChild>
                    <w:div w:id="1393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42481">
      <w:bodyDiv w:val="1"/>
      <w:marLeft w:val="0"/>
      <w:marRight w:val="0"/>
      <w:marTop w:val="0"/>
      <w:marBottom w:val="0"/>
      <w:divBdr>
        <w:top w:val="none" w:sz="0" w:space="0" w:color="auto"/>
        <w:left w:val="none" w:sz="0" w:space="0" w:color="auto"/>
        <w:bottom w:val="none" w:sz="0" w:space="0" w:color="auto"/>
        <w:right w:val="none" w:sz="0" w:space="0" w:color="auto"/>
      </w:divBdr>
      <w:divsChild>
        <w:div w:id="137844917">
          <w:marLeft w:val="0"/>
          <w:marRight w:val="0"/>
          <w:marTop w:val="0"/>
          <w:marBottom w:val="0"/>
          <w:divBdr>
            <w:top w:val="none" w:sz="0" w:space="0" w:color="auto"/>
            <w:left w:val="none" w:sz="0" w:space="0" w:color="auto"/>
            <w:bottom w:val="none" w:sz="0" w:space="0" w:color="auto"/>
            <w:right w:val="none" w:sz="0" w:space="0" w:color="auto"/>
          </w:divBdr>
          <w:divsChild>
            <w:div w:id="1974673754">
              <w:marLeft w:val="0"/>
              <w:marRight w:val="0"/>
              <w:marTop w:val="0"/>
              <w:marBottom w:val="0"/>
              <w:divBdr>
                <w:top w:val="none" w:sz="0" w:space="0" w:color="auto"/>
                <w:left w:val="none" w:sz="0" w:space="0" w:color="auto"/>
                <w:bottom w:val="none" w:sz="0" w:space="0" w:color="auto"/>
                <w:right w:val="none" w:sz="0" w:space="0" w:color="auto"/>
              </w:divBdr>
              <w:divsChild>
                <w:div w:id="52700292">
                  <w:marLeft w:val="0"/>
                  <w:marRight w:val="0"/>
                  <w:marTop w:val="0"/>
                  <w:marBottom w:val="0"/>
                  <w:divBdr>
                    <w:top w:val="none" w:sz="0" w:space="0" w:color="auto"/>
                    <w:left w:val="none" w:sz="0" w:space="0" w:color="auto"/>
                    <w:bottom w:val="none" w:sz="0" w:space="0" w:color="auto"/>
                    <w:right w:val="none" w:sz="0" w:space="0" w:color="auto"/>
                  </w:divBdr>
                  <w:divsChild>
                    <w:div w:id="983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87480">
      <w:bodyDiv w:val="1"/>
      <w:marLeft w:val="0"/>
      <w:marRight w:val="0"/>
      <w:marTop w:val="0"/>
      <w:marBottom w:val="0"/>
      <w:divBdr>
        <w:top w:val="none" w:sz="0" w:space="0" w:color="auto"/>
        <w:left w:val="none" w:sz="0" w:space="0" w:color="auto"/>
        <w:bottom w:val="none" w:sz="0" w:space="0" w:color="auto"/>
        <w:right w:val="none" w:sz="0" w:space="0" w:color="auto"/>
      </w:divBdr>
      <w:divsChild>
        <w:div w:id="1325161793">
          <w:marLeft w:val="0"/>
          <w:marRight w:val="0"/>
          <w:marTop w:val="0"/>
          <w:marBottom w:val="0"/>
          <w:divBdr>
            <w:top w:val="none" w:sz="0" w:space="0" w:color="auto"/>
            <w:left w:val="none" w:sz="0" w:space="0" w:color="auto"/>
            <w:bottom w:val="none" w:sz="0" w:space="0" w:color="auto"/>
            <w:right w:val="none" w:sz="0" w:space="0" w:color="auto"/>
          </w:divBdr>
          <w:divsChild>
            <w:div w:id="163592622">
              <w:marLeft w:val="0"/>
              <w:marRight w:val="0"/>
              <w:marTop w:val="0"/>
              <w:marBottom w:val="0"/>
              <w:divBdr>
                <w:top w:val="none" w:sz="0" w:space="0" w:color="auto"/>
                <w:left w:val="none" w:sz="0" w:space="0" w:color="auto"/>
                <w:bottom w:val="none" w:sz="0" w:space="0" w:color="auto"/>
                <w:right w:val="none" w:sz="0" w:space="0" w:color="auto"/>
              </w:divBdr>
              <w:divsChild>
                <w:div w:id="2114933346">
                  <w:marLeft w:val="0"/>
                  <w:marRight w:val="0"/>
                  <w:marTop w:val="0"/>
                  <w:marBottom w:val="0"/>
                  <w:divBdr>
                    <w:top w:val="none" w:sz="0" w:space="0" w:color="auto"/>
                    <w:left w:val="none" w:sz="0" w:space="0" w:color="auto"/>
                    <w:bottom w:val="none" w:sz="0" w:space="0" w:color="auto"/>
                    <w:right w:val="none" w:sz="0" w:space="0" w:color="auto"/>
                  </w:divBdr>
                  <w:divsChild>
                    <w:div w:id="915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32294">
      <w:bodyDiv w:val="1"/>
      <w:marLeft w:val="0"/>
      <w:marRight w:val="0"/>
      <w:marTop w:val="0"/>
      <w:marBottom w:val="0"/>
      <w:divBdr>
        <w:top w:val="none" w:sz="0" w:space="0" w:color="auto"/>
        <w:left w:val="none" w:sz="0" w:space="0" w:color="auto"/>
        <w:bottom w:val="none" w:sz="0" w:space="0" w:color="auto"/>
        <w:right w:val="none" w:sz="0" w:space="0" w:color="auto"/>
      </w:divBdr>
      <w:divsChild>
        <w:div w:id="1222253278">
          <w:marLeft w:val="0"/>
          <w:marRight w:val="0"/>
          <w:marTop w:val="0"/>
          <w:marBottom w:val="0"/>
          <w:divBdr>
            <w:top w:val="none" w:sz="0" w:space="0" w:color="auto"/>
            <w:left w:val="none" w:sz="0" w:space="0" w:color="auto"/>
            <w:bottom w:val="none" w:sz="0" w:space="0" w:color="auto"/>
            <w:right w:val="none" w:sz="0" w:space="0" w:color="auto"/>
          </w:divBdr>
          <w:divsChild>
            <w:div w:id="1727533262">
              <w:marLeft w:val="0"/>
              <w:marRight w:val="0"/>
              <w:marTop w:val="0"/>
              <w:marBottom w:val="0"/>
              <w:divBdr>
                <w:top w:val="none" w:sz="0" w:space="0" w:color="auto"/>
                <w:left w:val="none" w:sz="0" w:space="0" w:color="auto"/>
                <w:bottom w:val="none" w:sz="0" w:space="0" w:color="auto"/>
                <w:right w:val="none" w:sz="0" w:space="0" w:color="auto"/>
              </w:divBdr>
              <w:divsChild>
                <w:div w:id="451478120">
                  <w:marLeft w:val="0"/>
                  <w:marRight w:val="0"/>
                  <w:marTop w:val="0"/>
                  <w:marBottom w:val="0"/>
                  <w:divBdr>
                    <w:top w:val="none" w:sz="0" w:space="0" w:color="auto"/>
                    <w:left w:val="none" w:sz="0" w:space="0" w:color="auto"/>
                    <w:bottom w:val="none" w:sz="0" w:space="0" w:color="auto"/>
                    <w:right w:val="none" w:sz="0" w:space="0" w:color="auto"/>
                  </w:divBdr>
                  <w:divsChild>
                    <w:div w:id="10096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98060">
      <w:bodyDiv w:val="1"/>
      <w:marLeft w:val="0"/>
      <w:marRight w:val="0"/>
      <w:marTop w:val="0"/>
      <w:marBottom w:val="0"/>
      <w:divBdr>
        <w:top w:val="none" w:sz="0" w:space="0" w:color="auto"/>
        <w:left w:val="none" w:sz="0" w:space="0" w:color="auto"/>
        <w:bottom w:val="none" w:sz="0" w:space="0" w:color="auto"/>
        <w:right w:val="none" w:sz="0" w:space="0" w:color="auto"/>
      </w:divBdr>
      <w:divsChild>
        <w:div w:id="672344836">
          <w:marLeft w:val="0"/>
          <w:marRight w:val="0"/>
          <w:marTop w:val="0"/>
          <w:marBottom w:val="0"/>
          <w:divBdr>
            <w:top w:val="none" w:sz="0" w:space="0" w:color="auto"/>
            <w:left w:val="none" w:sz="0" w:space="0" w:color="auto"/>
            <w:bottom w:val="none" w:sz="0" w:space="0" w:color="auto"/>
            <w:right w:val="none" w:sz="0" w:space="0" w:color="auto"/>
          </w:divBdr>
          <w:divsChild>
            <w:div w:id="878784650">
              <w:marLeft w:val="0"/>
              <w:marRight w:val="0"/>
              <w:marTop w:val="0"/>
              <w:marBottom w:val="0"/>
              <w:divBdr>
                <w:top w:val="none" w:sz="0" w:space="0" w:color="auto"/>
                <w:left w:val="none" w:sz="0" w:space="0" w:color="auto"/>
                <w:bottom w:val="none" w:sz="0" w:space="0" w:color="auto"/>
                <w:right w:val="none" w:sz="0" w:space="0" w:color="auto"/>
              </w:divBdr>
              <w:divsChild>
                <w:div w:id="1088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7189">
      <w:bodyDiv w:val="1"/>
      <w:marLeft w:val="0"/>
      <w:marRight w:val="0"/>
      <w:marTop w:val="0"/>
      <w:marBottom w:val="0"/>
      <w:divBdr>
        <w:top w:val="none" w:sz="0" w:space="0" w:color="auto"/>
        <w:left w:val="none" w:sz="0" w:space="0" w:color="auto"/>
        <w:bottom w:val="none" w:sz="0" w:space="0" w:color="auto"/>
        <w:right w:val="none" w:sz="0" w:space="0" w:color="auto"/>
      </w:divBdr>
      <w:divsChild>
        <w:div w:id="2096239082">
          <w:marLeft w:val="0"/>
          <w:marRight w:val="0"/>
          <w:marTop w:val="0"/>
          <w:marBottom w:val="0"/>
          <w:divBdr>
            <w:top w:val="none" w:sz="0" w:space="0" w:color="auto"/>
            <w:left w:val="none" w:sz="0" w:space="0" w:color="auto"/>
            <w:bottom w:val="none" w:sz="0" w:space="0" w:color="auto"/>
            <w:right w:val="none" w:sz="0" w:space="0" w:color="auto"/>
          </w:divBdr>
          <w:divsChild>
            <w:div w:id="774402439">
              <w:marLeft w:val="0"/>
              <w:marRight w:val="0"/>
              <w:marTop w:val="0"/>
              <w:marBottom w:val="0"/>
              <w:divBdr>
                <w:top w:val="none" w:sz="0" w:space="0" w:color="auto"/>
                <w:left w:val="none" w:sz="0" w:space="0" w:color="auto"/>
                <w:bottom w:val="none" w:sz="0" w:space="0" w:color="auto"/>
                <w:right w:val="none" w:sz="0" w:space="0" w:color="auto"/>
              </w:divBdr>
              <w:divsChild>
                <w:div w:id="187957920">
                  <w:marLeft w:val="0"/>
                  <w:marRight w:val="0"/>
                  <w:marTop w:val="0"/>
                  <w:marBottom w:val="0"/>
                  <w:divBdr>
                    <w:top w:val="none" w:sz="0" w:space="0" w:color="auto"/>
                    <w:left w:val="none" w:sz="0" w:space="0" w:color="auto"/>
                    <w:bottom w:val="none" w:sz="0" w:space="0" w:color="auto"/>
                    <w:right w:val="none" w:sz="0" w:space="0" w:color="auto"/>
                  </w:divBdr>
                  <w:divsChild>
                    <w:div w:id="6480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4368">
      <w:bodyDiv w:val="1"/>
      <w:marLeft w:val="0"/>
      <w:marRight w:val="0"/>
      <w:marTop w:val="0"/>
      <w:marBottom w:val="0"/>
      <w:divBdr>
        <w:top w:val="none" w:sz="0" w:space="0" w:color="auto"/>
        <w:left w:val="none" w:sz="0" w:space="0" w:color="auto"/>
        <w:bottom w:val="none" w:sz="0" w:space="0" w:color="auto"/>
        <w:right w:val="none" w:sz="0" w:space="0" w:color="auto"/>
      </w:divBdr>
      <w:divsChild>
        <w:div w:id="874662816">
          <w:marLeft w:val="0"/>
          <w:marRight w:val="0"/>
          <w:marTop w:val="0"/>
          <w:marBottom w:val="0"/>
          <w:divBdr>
            <w:top w:val="none" w:sz="0" w:space="0" w:color="auto"/>
            <w:left w:val="none" w:sz="0" w:space="0" w:color="auto"/>
            <w:bottom w:val="none" w:sz="0" w:space="0" w:color="auto"/>
            <w:right w:val="none" w:sz="0" w:space="0" w:color="auto"/>
          </w:divBdr>
          <w:divsChild>
            <w:div w:id="2011130191">
              <w:marLeft w:val="0"/>
              <w:marRight w:val="0"/>
              <w:marTop w:val="0"/>
              <w:marBottom w:val="0"/>
              <w:divBdr>
                <w:top w:val="none" w:sz="0" w:space="0" w:color="auto"/>
                <w:left w:val="none" w:sz="0" w:space="0" w:color="auto"/>
                <w:bottom w:val="none" w:sz="0" w:space="0" w:color="auto"/>
                <w:right w:val="none" w:sz="0" w:space="0" w:color="auto"/>
              </w:divBdr>
              <w:divsChild>
                <w:div w:id="244804585">
                  <w:marLeft w:val="0"/>
                  <w:marRight w:val="0"/>
                  <w:marTop w:val="0"/>
                  <w:marBottom w:val="0"/>
                  <w:divBdr>
                    <w:top w:val="none" w:sz="0" w:space="0" w:color="auto"/>
                    <w:left w:val="none" w:sz="0" w:space="0" w:color="auto"/>
                    <w:bottom w:val="none" w:sz="0" w:space="0" w:color="auto"/>
                    <w:right w:val="none" w:sz="0" w:space="0" w:color="auto"/>
                  </w:divBdr>
                  <w:divsChild>
                    <w:div w:id="16588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03434">
      <w:bodyDiv w:val="1"/>
      <w:marLeft w:val="0"/>
      <w:marRight w:val="0"/>
      <w:marTop w:val="0"/>
      <w:marBottom w:val="0"/>
      <w:divBdr>
        <w:top w:val="none" w:sz="0" w:space="0" w:color="auto"/>
        <w:left w:val="none" w:sz="0" w:space="0" w:color="auto"/>
        <w:bottom w:val="none" w:sz="0" w:space="0" w:color="auto"/>
        <w:right w:val="none" w:sz="0" w:space="0" w:color="auto"/>
      </w:divBdr>
      <w:divsChild>
        <w:div w:id="1943103864">
          <w:marLeft w:val="0"/>
          <w:marRight w:val="0"/>
          <w:marTop w:val="0"/>
          <w:marBottom w:val="0"/>
          <w:divBdr>
            <w:top w:val="none" w:sz="0" w:space="0" w:color="auto"/>
            <w:left w:val="none" w:sz="0" w:space="0" w:color="auto"/>
            <w:bottom w:val="none" w:sz="0" w:space="0" w:color="auto"/>
            <w:right w:val="none" w:sz="0" w:space="0" w:color="auto"/>
          </w:divBdr>
          <w:divsChild>
            <w:div w:id="367335559">
              <w:marLeft w:val="0"/>
              <w:marRight w:val="0"/>
              <w:marTop w:val="0"/>
              <w:marBottom w:val="0"/>
              <w:divBdr>
                <w:top w:val="none" w:sz="0" w:space="0" w:color="auto"/>
                <w:left w:val="none" w:sz="0" w:space="0" w:color="auto"/>
                <w:bottom w:val="none" w:sz="0" w:space="0" w:color="auto"/>
                <w:right w:val="none" w:sz="0" w:space="0" w:color="auto"/>
              </w:divBdr>
              <w:divsChild>
                <w:div w:id="597250841">
                  <w:marLeft w:val="0"/>
                  <w:marRight w:val="0"/>
                  <w:marTop w:val="0"/>
                  <w:marBottom w:val="0"/>
                  <w:divBdr>
                    <w:top w:val="none" w:sz="0" w:space="0" w:color="auto"/>
                    <w:left w:val="none" w:sz="0" w:space="0" w:color="auto"/>
                    <w:bottom w:val="none" w:sz="0" w:space="0" w:color="auto"/>
                    <w:right w:val="none" w:sz="0" w:space="0" w:color="auto"/>
                  </w:divBdr>
                  <w:divsChild>
                    <w:div w:id="9862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2855">
      <w:bodyDiv w:val="1"/>
      <w:marLeft w:val="0"/>
      <w:marRight w:val="0"/>
      <w:marTop w:val="0"/>
      <w:marBottom w:val="0"/>
      <w:divBdr>
        <w:top w:val="none" w:sz="0" w:space="0" w:color="auto"/>
        <w:left w:val="none" w:sz="0" w:space="0" w:color="auto"/>
        <w:bottom w:val="none" w:sz="0" w:space="0" w:color="auto"/>
        <w:right w:val="none" w:sz="0" w:space="0" w:color="auto"/>
      </w:divBdr>
    </w:div>
    <w:div w:id="1407873445">
      <w:bodyDiv w:val="1"/>
      <w:marLeft w:val="0"/>
      <w:marRight w:val="0"/>
      <w:marTop w:val="0"/>
      <w:marBottom w:val="0"/>
      <w:divBdr>
        <w:top w:val="none" w:sz="0" w:space="0" w:color="auto"/>
        <w:left w:val="none" w:sz="0" w:space="0" w:color="auto"/>
        <w:bottom w:val="none" w:sz="0" w:space="0" w:color="auto"/>
        <w:right w:val="none" w:sz="0" w:space="0" w:color="auto"/>
      </w:divBdr>
      <w:divsChild>
        <w:div w:id="1754812167">
          <w:marLeft w:val="0"/>
          <w:marRight w:val="0"/>
          <w:marTop w:val="0"/>
          <w:marBottom w:val="0"/>
          <w:divBdr>
            <w:top w:val="none" w:sz="0" w:space="0" w:color="auto"/>
            <w:left w:val="none" w:sz="0" w:space="0" w:color="auto"/>
            <w:bottom w:val="none" w:sz="0" w:space="0" w:color="auto"/>
            <w:right w:val="none" w:sz="0" w:space="0" w:color="auto"/>
          </w:divBdr>
          <w:divsChild>
            <w:div w:id="2071489373">
              <w:marLeft w:val="0"/>
              <w:marRight w:val="0"/>
              <w:marTop w:val="0"/>
              <w:marBottom w:val="0"/>
              <w:divBdr>
                <w:top w:val="none" w:sz="0" w:space="0" w:color="auto"/>
                <w:left w:val="none" w:sz="0" w:space="0" w:color="auto"/>
                <w:bottom w:val="none" w:sz="0" w:space="0" w:color="auto"/>
                <w:right w:val="none" w:sz="0" w:space="0" w:color="auto"/>
              </w:divBdr>
              <w:divsChild>
                <w:div w:id="1547716833">
                  <w:marLeft w:val="0"/>
                  <w:marRight w:val="0"/>
                  <w:marTop w:val="0"/>
                  <w:marBottom w:val="0"/>
                  <w:divBdr>
                    <w:top w:val="none" w:sz="0" w:space="0" w:color="auto"/>
                    <w:left w:val="none" w:sz="0" w:space="0" w:color="auto"/>
                    <w:bottom w:val="none" w:sz="0" w:space="0" w:color="auto"/>
                    <w:right w:val="none" w:sz="0" w:space="0" w:color="auto"/>
                  </w:divBdr>
                  <w:divsChild>
                    <w:div w:id="2511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36006">
      <w:bodyDiv w:val="1"/>
      <w:marLeft w:val="0"/>
      <w:marRight w:val="0"/>
      <w:marTop w:val="0"/>
      <w:marBottom w:val="0"/>
      <w:divBdr>
        <w:top w:val="none" w:sz="0" w:space="0" w:color="auto"/>
        <w:left w:val="none" w:sz="0" w:space="0" w:color="auto"/>
        <w:bottom w:val="none" w:sz="0" w:space="0" w:color="auto"/>
        <w:right w:val="none" w:sz="0" w:space="0" w:color="auto"/>
      </w:divBdr>
      <w:divsChild>
        <w:div w:id="718826766">
          <w:marLeft w:val="0"/>
          <w:marRight w:val="0"/>
          <w:marTop w:val="0"/>
          <w:marBottom w:val="0"/>
          <w:divBdr>
            <w:top w:val="none" w:sz="0" w:space="0" w:color="auto"/>
            <w:left w:val="none" w:sz="0" w:space="0" w:color="auto"/>
            <w:bottom w:val="none" w:sz="0" w:space="0" w:color="auto"/>
            <w:right w:val="none" w:sz="0" w:space="0" w:color="auto"/>
          </w:divBdr>
          <w:divsChild>
            <w:div w:id="956983211">
              <w:marLeft w:val="0"/>
              <w:marRight w:val="0"/>
              <w:marTop w:val="0"/>
              <w:marBottom w:val="0"/>
              <w:divBdr>
                <w:top w:val="none" w:sz="0" w:space="0" w:color="auto"/>
                <w:left w:val="none" w:sz="0" w:space="0" w:color="auto"/>
                <w:bottom w:val="none" w:sz="0" w:space="0" w:color="auto"/>
                <w:right w:val="none" w:sz="0" w:space="0" w:color="auto"/>
              </w:divBdr>
              <w:divsChild>
                <w:div w:id="14589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2783">
      <w:bodyDiv w:val="1"/>
      <w:marLeft w:val="0"/>
      <w:marRight w:val="0"/>
      <w:marTop w:val="0"/>
      <w:marBottom w:val="0"/>
      <w:divBdr>
        <w:top w:val="none" w:sz="0" w:space="0" w:color="auto"/>
        <w:left w:val="none" w:sz="0" w:space="0" w:color="auto"/>
        <w:bottom w:val="none" w:sz="0" w:space="0" w:color="auto"/>
        <w:right w:val="none" w:sz="0" w:space="0" w:color="auto"/>
      </w:divBdr>
      <w:divsChild>
        <w:div w:id="899025359">
          <w:marLeft w:val="0"/>
          <w:marRight w:val="0"/>
          <w:marTop w:val="0"/>
          <w:marBottom w:val="0"/>
          <w:divBdr>
            <w:top w:val="none" w:sz="0" w:space="0" w:color="auto"/>
            <w:left w:val="none" w:sz="0" w:space="0" w:color="auto"/>
            <w:bottom w:val="none" w:sz="0" w:space="0" w:color="auto"/>
            <w:right w:val="none" w:sz="0" w:space="0" w:color="auto"/>
          </w:divBdr>
          <w:divsChild>
            <w:div w:id="1073309591">
              <w:marLeft w:val="0"/>
              <w:marRight w:val="0"/>
              <w:marTop w:val="0"/>
              <w:marBottom w:val="0"/>
              <w:divBdr>
                <w:top w:val="none" w:sz="0" w:space="0" w:color="auto"/>
                <w:left w:val="none" w:sz="0" w:space="0" w:color="auto"/>
                <w:bottom w:val="none" w:sz="0" w:space="0" w:color="auto"/>
                <w:right w:val="none" w:sz="0" w:space="0" w:color="auto"/>
              </w:divBdr>
              <w:divsChild>
                <w:div w:id="1340307636">
                  <w:marLeft w:val="0"/>
                  <w:marRight w:val="0"/>
                  <w:marTop w:val="0"/>
                  <w:marBottom w:val="0"/>
                  <w:divBdr>
                    <w:top w:val="none" w:sz="0" w:space="0" w:color="auto"/>
                    <w:left w:val="none" w:sz="0" w:space="0" w:color="auto"/>
                    <w:bottom w:val="none" w:sz="0" w:space="0" w:color="auto"/>
                    <w:right w:val="none" w:sz="0" w:space="0" w:color="auto"/>
                  </w:divBdr>
                  <w:divsChild>
                    <w:div w:id="8526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079351">
      <w:bodyDiv w:val="1"/>
      <w:marLeft w:val="0"/>
      <w:marRight w:val="0"/>
      <w:marTop w:val="0"/>
      <w:marBottom w:val="0"/>
      <w:divBdr>
        <w:top w:val="none" w:sz="0" w:space="0" w:color="auto"/>
        <w:left w:val="none" w:sz="0" w:space="0" w:color="auto"/>
        <w:bottom w:val="none" w:sz="0" w:space="0" w:color="auto"/>
        <w:right w:val="none" w:sz="0" w:space="0" w:color="auto"/>
      </w:divBdr>
      <w:divsChild>
        <w:div w:id="1671181101">
          <w:marLeft w:val="0"/>
          <w:marRight w:val="0"/>
          <w:marTop w:val="0"/>
          <w:marBottom w:val="0"/>
          <w:divBdr>
            <w:top w:val="none" w:sz="0" w:space="0" w:color="auto"/>
            <w:left w:val="none" w:sz="0" w:space="0" w:color="auto"/>
            <w:bottom w:val="none" w:sz="0" w:space="0" w:color="auto"/>
            <w:right w:val="none" w:sz="0" w:space="0" w:color="auto"/>
          </w:divBdr>
          <w:divsChild>
            <w:div w:id="635260586">
              <w:marLeft w:val="0"/>
              <w:marRight w:val="0"/>
              <w:marTop w:val="0"/>
              <w:marBottom w:val="0"/>
              <w:divBdr>
                <w:top w:val="none" w:sz="0" w:space="0" w:color="auto"/>
                <w:left w:val="none" w:sz="0" w:space="0" w:color="auto"/>
                <w:bottom w:val="none" w:sz="0" w:space="0" w:color="auto"/>
                <w:right w:val="none" w:sz="0" w:space="0" w:color="auto"/>
              </w:divBdr>
              <w:divsChild>
                <w:div w:id="1351448185">
                  <w:marLeft w:val="0"/>
                  <w:marRight w:val="0"/>
                  <w:marTop w:val="0"/>
                  <w:marBottom w:val="0"/>
                  <w:divBdr>
                    <w:top w:val="none" w:sz="0" w:space="0" w:color="auto"/>
                    <w:left w:val="none" w:sz="0" w:space="0" w:color="auto"/>
                    <w:bottom w:val="none" w:sz="0" w:space="0" w:color="auto"/>
                    <w:right w:val="none" w:sz="0" w:space="0" w:color="auto"/>
                  </w:divBdr>
                  <w:divsChild>
                    <w:div w:id="10179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77878">
      <w:bodyDiv w:val="1"/>
      <w:marLeft w:val="0"/>
      <w:marRight w:val="0"/>
      <w:marTop w:val="0"/>
      <w:marBottom w:val="0"/>
      <w:divBdr>
        <w:top w:val="none" w:sz="0" w:space="0" w:color="auto"/>
        <w:left w:val="none" w:sz="0" w:space="0" w:color="auto"/>
        <w:bottom w:val="none" w:sz="0" w:space="0" w:color="auto"/>
        <w:right w:val="none" w:sz="0" w:space="0" w:color="auto"/>
      </w:divBdr>
      <w:divsChild>
        <w:div w:id="410346252">
          <w:marLeft w:val="0"/>
          <w:marRight w:val="0"/>
          <w:marTop w:val="0"/>
          <w:marBottom w:val="0"/>
          <w:divBdr>
            <w:top w:val="none" w:sz="0" w:space="0" w:color="auto"/>
            <w:left w:val="none" w:sz="0" w:space="0" w:color="auto"/>
            <w:bottom w:val="none" w:sz="0" w:space="0" w:color="auto"/>
            <w:right w:val="none" w:sz="0" w:space="0" w:color="auto"/>
          </w:divBdr>
          <w:divsChild>
            <w:div w:id="101805548">
              <w:marLeft w:val="0"/>
              <w:marRight w:val="0"/>
              <w:marTop w:val="0"/>
              <w:marBottom w:val="0"/>
              <w:divBdr>
                <w:top w:val="none" w:sz="0" w:space="0" w:color="auto"/>
                <w:left w:val="none" w:sz="0" w:space="0" w:color="auto"/>
                <w:bottom w:val="none" w:sz="0" w:space="0" w:color="auto"/>
                <w:right w:val="none" w:sz="0" w:space="0" w:color="auto"/>
              </w:divBdr>
              <w:divsChild>
                <w:div w:id="1955402360">
                  <w:marLeft w:val="0"/>
                  <w:marRight w:val="0"/>
                  <w:marTop w:val="0"/>
                  <w:marBottom w:val="0"/>
                  <w:divBdr>
                    <w:top w:val="none" w:sz="0" w:space="0" w:color="auto"/>
                    <w:left w:val="none" w:sz="0" w:space="0" w:color="auto"/>
                    <w:bottom w:val="none" w:sz="0" w:space="0" w:color="auto"/>
                    <w:right w:val="none" w:sz="0" w:space="0" w:color="auto"/>
                  </w:divBdr>
                  <w:divsChild>
                    <w:div w:id="18983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461286">
      <w:bodyDiv w:val="1"/>
      <w:marLeft w:val="0"/>
      <w:marRight w:val="0"/>
      <w:marTop w:val="0"/>
      <w:marBottom w:val="0"/>
      <w:divBdr>
        <w:top w:val="none" w:sz="0" w:space="0" w:color="auto"/>
        <w:left w:val="none" w:sz="0" w:space="0" w:color="auto"/>
        <w:bottom w:val="none" w:sz="0" w:space="0" w:color="auto"/>
        <w:right w:val="none" w:sz="0" w:space="0" w:color="auto"/>
      </w:divBdr>
      <w:divsChild>
        <w:div w:id="125507348">
          <w:marLeft w:val="0"/>
          <w:marRight w:val="0"/>
          <w:marTop w:val="0"/>
          <w:marBottom w:val="0"/>
          <w:divBdr>
            <w:top w:val="none" w:sz="0" w:space="0" w:color="auto"/>
            <w:left w:val="none" w:sz="0" w:space="0" w:color="auto"/>
            <w:bottom w:val="none" w:sz="0" w:space="0" w:color="auto"/>
            <w:right w:val="none" w:sz="0" w:space="0" w:color="auto"/>
          </w:divBdr>
          <w:divsChild>
            <w:div w:id="2054380731">
              <w:marLeft w:val="0"/>
              <w:marRight w:val="0"/>
              <w:marTop w:val="0"/>
              <w:marBottom w:val="0"/>
              <w:divBdr>
                <w:top w:val="none" w:sz="0" w:space="0" w:color="auto"/>
                <w:left w:val="none" w:sz="0" w:space="0" w:color="auto"/>
                <w:bottom w:val="none" w:sz="0" w:space="0" w:color="auto"/>
                <w:right w:val="none" w:sz="0" w:space="0" w:color="auto"/>
              </w:divBdr>
              <w:divsChild>
                <w:div w:id="1985573599">
                  <w:marLeft w:val="0"/>
                  <w:marRight w:val="0"/>
                  <w:marTop w:val="0"/>
                  <w:marBottom w:val="0"/>
                  <w:divBdr>
                    <w:top w:val="none" w:sz="0" w:space="0" w:color="auto"/>
                    <w:left w:val="none" w:sz="0" w:space="0" w:color="auto"/>
                    <w:bottom w:val="none" w:sz="0" w:space="0" w:color="auto"/>
                    <w:right w:val="none" w:sz="0" w:space="0" w:color="auto"/>
                  </w:divBdr>
                  <w:divsChild>
                    <w:div w:id="7205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17103">
      <w:bodyDiv w:val="1"/>
      <w:marLeft w:val="0"/>
      <w:marRight w:val="0"/>
      <w:marTop w:val="0"/>
      <w:marBottom w:val="0"/>
      <w:divBdr>
        <w:top w:val="none" w:sz="0" w:space="0" w:color="auto"/>
        <w:left w:val="none" w:sz="0" w:space="0" w:color="auto"/>
        <w:bottom w:val="none" w:sz="0" w:space="0" w:color="auto"/>
        <w:right w:val="none" w:sz="0" w:space="0" w:color="auto"/>
      </w:divBdr>
      <w:divsChild>
        <w:div w:id="817577187">
          <w:marLeft w:val="0"/>
          <w:marRight w:val="0"/>
          <w:marTop w:val="0"/>
          <w:marBottom w:val="0"/>
          <w:divBdr>
            <w:top w:val="none" w:sz="0" w:space="0" w:color="auto"/>
            <w:left w:val="none" w:sz="0" w:space="0" w:color="auto"/>
            <w:bottom w:val="none" w:sz="0" w:space="0" w:color="auto"/>
            <w:right w:val="none" w:sz="0" w:space="0" w:color="auto"/>
          </w:divBdr>
          <w:divsChild>
            <w:div w:id="907811403">
              <w:marLeft w:val="0"/>
              <w:marRight w:val="0"/>
              <w:marTop w:val="0"/>
              <w:marBottom w:val="0"/>
              <w:divBdr>
                <w:top w:val="none" w:sz="0" w:space="0" w:color="auto"/>
                <w:left w:val="none" w:sz="0" w:space="0" w:color="auto"/>
                <w:bottom w:val="none" w:sz="0" w:space="0" w:color="auto"/>
                <w:right w:val="none" w:sz="0" w:space="0" w:color="auto"/>
              </w:divBdr>
              <w:divsChild>
                <w:div w:id="2036615348">
                  <w:marLeft w:val="0"/>
                  <w:marRight w:val="0"/>
                  <w:marTop w:val="0"/>
                  <w:marBottom w:val="0"/>
                  <w:divBdr>
                    <w:top w:val="none" w:sz="0" w:space="0" w:color="auto"/>
                    <w:left w:val="none" w:sz="0" w:space="0" w:color="auto"/>
                    <w:bottom w:val="none" w:sz="0" w:space="0" w:color="auto"/>
                    <w:right w:val="none" w:sz="0" w:space="0" w:color="auto"/>
                  </w:divBdr>
                  <w:divsChild>
                    <w:div w:id="9099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58484">
      <w:bodyDiv w:val="1"/>
      <w:marLeft w:val="0"/>
      <w:marRight w:val="0"/>
      <w:marTop w:val="0"/>
      <w:marBottom w:val="0"/>
      <w:divBdr>
        <w:top w:val="none" w:sz="0" w:space="0" w:color="auto"/>
        <w:left w:val="none" w:sz="0" w:space="0" w:color="auto"/>
        <w:bottom w:val="none" w:sz="0" w:space="0" w:color="auto"/>
        <w:right w:val="none" w:sz="0" w:space="0" w:color="auto"/>
      </w:divBdr>
      <w:divsChild>
        <w:div w:id="1697808019">
          <w:marLeft w:val="0"/>
          <w:marRight w:val="0"/>
          <w:marTop w:val="0"/>
          <w:marBottom w:val="0"/>
          <w:divBdr>
            <w:top w:val="none" w:sz="0" w:space="0" w:color="auto"/>
            <w:left w:val="none" w:sz="0" w:space="0" w:color="auto"/>
            <w:bottom w:val="none" w:sz="0" w:space="0" w:color="auto"/>
            <w:right w:val="none" w:sz="0" w:space="0" w:color="auto"/>
          </w:divBdr>
          <w:divsChild>
            <w:div w:id="832835895">
              <w:marLeft w:val="0"/>
              <w:marRight w:val="0"/>
              <w:marTop w:val="0"/>
              <w:marBottom w:val="0"/>
              <w:divBdr>
                <w:top w:val="none" w:sz="0" w:space="0" w:color="auto"/>
                <w:left w:val="none" w:sz="0" w:space="0" w:color="auto"/>
                <w:bottom w:val="none" w:sz="0" w:space="0" w:color="auto"/>
                <w:right w:val="none" w:sz="0" w:space="0" w:color="auto"/>
              </w:divBdr>
              <w:divsChild>
                <w:div w:id="1489518424">
                  <w:marLeft w:val="0"/>
                  <w:marRight w:val="0"/>
                  <w:marTop w:val="0"/>
                  <w:marBottom w:val="0"/>
                  <w:divBdr>
                    <w:top w:val="none" w:sz="0" w:space="0" w:color="auto"/>
                    <w:left w:val="none" w:sz="0" w:space="0" w:color="auto"/>
                    <w:bottom w:val="none" w:sz="0" w:space="0" w:color="auto"/>
                    <w:right w:val="none" w:sz="0" w:space="0" w:color="auto"/>
                  </w:divBdr>
                  <w:divsChild>
                    <w:div w:id="8321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83825">
      <w:bodyDiv w:val="1"/>
      <w:marLeft w:val="0"/>
      <w:marRight w:val="0"/>
      <w:marTop w:val="0"/>
      <w:marBottom w:val="0"/>
      <w:divBdr>
        <w:top w:val="none" w:sz="0" w:space="0" w:color="auto"/>
        <w:left w:val="none" w:sz="0" w:space="0" w:color="auto"/>
        <w:bottom w:val="none" w:sz="0" w:space="0" w:color="auto"/>
        <w:right w:val="none" w:sz="0" w:space="0" w:color="auto"/>
      </w:divBdr>
      <w:divsChild>
        <w:div w:id="268002948">
          <w:marLeft w:val="0"/>
          <w:marRight w:val="0"/>
          <w:marTop w:val="0"/>
          <w:marBottom w:val="0"/>
          <w:divBdr>
            <w:top w:val="none" w:sz="0" w:space="0" w:color="auto"/>
            <w:left w:val="none" w:sz="0" w:space="0" w:color="auto"/>
            <w:bottom w:val="none" w:sz="0" w:space="0" w:color="auto"/>
            <w:right w:val="none" w:sz="0" w:space="0" w:color="auto"/>
          </w:divBdr>
          <w:divsChild>
            <w:div w:id="101583416">
              <w:marLeft w:val="0"/>
              <w:marRight w:val="0"/>
              <w:marTop w:val="0"/>
              <w:marBottom w:val="0"/>
              <w:divBdr>
                <w:top w:val="none" w:sz="0" w:space="0" w:color="auto"/>
                <w:left w:val="none" w:sz="0" w:space="0" w:color="auto"/>
                <w:bottom w:val="none" w:sz="0" w:space="0" w:color="auto"/>
                <w:right w:val="none" w:sz="0" w:space="0" w:color="auto"/>
              </w:divBdr>
              <w:divsChild>
                <w:div w:id="383408995">
                  <w:marLeft w:val="0"/>
                  <w:marRight w:val="0"/>
                  <w:marTop w:val="0"/>
                  <w:marBottom w:val="0"/>
                  <w:divBdr>
                    <w:top w:val="none" w:sz="0" w:space="0" w:color="auto"/>
                    <w:left w:val="none" w:sz="0" w:space="0" w:color="auto"/>
                    <w:bottom w:val="none" w:sz="0" w:space="0" w:color="auto"/>
                    <w:right w:val="none" w:sz="0" w:space="0" w:color="auto"/>
                  </w:divBdr>
                  <w:divsChild>
                    <w:div w:id="14046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728541">
      <w:bodyDiv w:val="1"/>
      <w:marLeft w:val="0"/>
      <w:marRight w:val="0"/>
      <w:marTop w:val="0"/>
      <w:marBottom w:val="0"/>
      <w:divBdr>
        <w:top w:val="none" w:sz="0" w:space="0" w:color="auto"/>
        <w:left w:val="none" w:sz="0" w:space="0" w:color="auto"/>
        <w:bottom w:val="none" w:sz="0" w:space="0" w:color="auto"/>
        <w:right w:val="none" w:sz="0" w:space="0" w:color="auto"/>
      </w:divBdr>
      <w:divsChild>
        <w:div w:id="1585800929">
          <w:marLeft w:val="0"/>
          <w:marRight w:val="0"/>
          <w:marTop w:val="0"/>
          <w:marBottom w:val="0"/>
          <w:divBdr>
            <w:top w:val="none" w:sz="0" w:space="0" w:color="auto"/>
            <w:left w:val="none" w:sz="0" w:space="0" w:color="auto"/>
            <w:bottom w:val="none" w:sz="0" w:space="0" w:color="auto"/>
            <w:right w:val="none" w:sz="0" w:space="0" w:color="auto"/>
          </w:divBdr>
          <w:divsChild>
            <w:div w:id="623120928">
              <w:marLeft w:val="0"/>
              <w:marRight w:val="0"/>
              <w:marTop w:val="0"/>
              <w:marBottom w:val="0"/>
              <w:divBdr>
                <w:top w:val="none" w:sz="0" w:space="0" w:color="auto"/>
                <w:left w:val="none" w:sz="0" w:space="0" w:color="auto"/>
                <w:bottom w:val="none" w:sz="0" w:space="0" w:color="auto"/>
                <w:right w:val="none" w:sz="0" w:space="0" w:color="auto"/>
              </w:divBdr>
              <w:divsChild>
                <w:div w:id="556285270">
                  <w:marLeft w:val="0"/>
                  <w:marRight w:val="0"/>
                  <w:marTop w:val="0"/>
                  <w:marBottom w:val="0"/>
                  <w:divBdr>
                    <w:top w:val="none" w:sz="0" w:space="0" w:color="auto"/>
                    <w:left w:val="none" w:sz="0" w:space="0" w:color="auto"/>
                    <w:bottom w:val="none" w:sz="0" w:space="0" w:color="auto"/>
                    <w:right w:val="none" w:sz="0" w:space="0" w:color="auto"/>
                  </w:divBdr>
                  <w:divsChild>
                    <w:div w:id="20551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44550">
      <w:bodyDiv w:val="1"/>
      <w:marLeft w:val="0"/>
      <w:marRight w:val="0"/>
      <w:marTop w:val="0"/>
      <w:marBottom w:val="0"/>
      <w:divBdr>
        <w:top w:val="none" w:sz="0" w:space="0" w:color="auto"/>
        <w:left w:val="none" w:sz="0" w:space="0" w:color="auto"/>
        <w:bottom w:val="none" w:sz="0" w:space="0" w:color="auto"/>
        <w:right w:val="none" w:sz="0" w:space="0" w:color="auto"/>
      </w:divBdr>
      <w:divsChild>
        <w:div w:id="2084713315">
          <w:marLeft w:val="0"/>
          <w:marRight w:val="0"/>
          <w:marTop w:val="0"/>
          <w:marBottom w:val="0"/>
          <w:divBdr>
            <w:top w:val="none" w:sz="0" w:space="0" w:color="auto"/>
            <w:left w:val="none" w:sz="0" w:space="0" w:color="auto"/>
            <w:bottom w:val="none" w:sz="0" w:space="0" w:color="auto"/>
            <w:right w:val="none" w:sz="0" w:space="0" w:color="auto"/>
          </w:divBdr>
          <w:divsChild>
            <w:div w:id="183322282">
              <w:marLeft w:val="0"/>
              <w:marRight w:val="0"/>
              <w:marTop w:val="0"/>
              <w:marBottom w:val="0"/>
              <w:divBdr>
                <w:top w:val="none" w:sz="0" w:space="0" w:color="auto"/>
                <w:left w:val="none" w:sz="0" w:space="0" w:color="auto"/>
                <w:bottom w:val="none" w:sz="0" w:space="0" w:color="auto"/>
                <w:right w:val="none" w:sz="0" w:space="0" w:color="auto"/>
              </w:divBdr>
              <w:divsChild>
                <w:div w:id="818619912">
                  <w:marLeft w:val="0"/>
                  <w:marRight w:val="0"/>
                  <w:marTop w:val="0"/>
                  <w:marBottom w:val="0"/>
                  <w:divBdr>
                    <w:top w:val="none" w:sz="0" w:space="0" w:color="auto"/>
                    <w:left w:val="none" w:sz="0" w:space="0" w:color="auto"/>
                    <w:bottom w:val="none" w:sz="0" w:space="0" w:color="auto"/>
                    <w:right w:val="none" w:sz="0" w:space="0" w:color="auto"/>
                  </w:divBdr>
                  <w:divsChild>
                    <w:div w:id="73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mographic-research.org/Volumes/Vol20/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yperlink" Target="https://doi.org/10.18128/D010.V7.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8128/D030.V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E3A5C-C0B9-45E4-9B15-FFF0B8F1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19</Pages>
  <Words>4485</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LEIST</dc:creator>
  <cp:keywords/>
  <dc:description/>
  <cp:lastModifiedBy>KARL</cp:lastModifiedBy>
  <cp:revision>26</cp:revision>
  <cp:lastPrinted>2017-10-31T10:10:00Z</cp:lastPrinted>
  <dcterms:created xsi:type="dcterms:W3CDTF">2018-05-14T13:40:00Z</dcterms:created>
  <dcterms:modified xsi:type="dcterms:W3CDTF">2018-05-14T15:37:00Z</dcterms:modified>
</cp:coreProperties>
</file>